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415" w:rsidRPr="00F57415" w:rsidRDefault="00F57415" w:rsidP="00F57415">
      <w:pPr>
        <w:jc w:val="center"/>
        <w:rPr>
          <w:rFonts w:ascii="Arial" w:hAnsi="Arial" w:cs="Arial"/>
          <w:b/>
          <w:sz w:val="24"/>
          <w:szCs w:val="24"/>
          <w:u w:val="single"/>
        </w:rPr>
      </w:pPr>
      <w:r>
        <w:rPr>
          <w:rFonts w:ascii="Arial" w:hAnsi="Arial" w:cs="Arial"/>
          <w:b/>
          <w:sz w:val="24"/>
          <w:szCs w:val="24"/>
          <w:u w:val="single"/>
        </w:rPr>
        <w:t>Youth Justice Legislation – Australia and New Zealand</w:t>
      </w:r>
    </w:p>
    <w:tbl>
      <w:tblPr>
        <w:tblStyle w:val="TableGrid"/>
        <w:tblW w:w="0" w:type="auto"/>
        <w:tblLook w:val="04A0" w:firstRow="1" w:lastRow="0" w:firstColumn="1" w:lastColumn="0" w:noHBand="0" w:noVBand="1"/>
      </w:tblPr>
      <w:tblGrid>
        <w:gridCol w:w="1384"/>
        <w:gridCol w:w="3544"/>
        <w:gridCol w:w="4252"/>
        <w:gridCol w:w="4994"/>
      </w:tblGrid>
      <w:tr w:rsidR="00F57415" w:rsidRPr="00F57415" w:rsidTr="005570B4">
        <w:tc>
          <w:tcPr>
            <w:tcW w:w="1384" w:type="dxa"/>
            <w:shd w:val="clear" w:color="auto" w:fill="D9D9D9" w:themeFill="background1" w:themeFillShade="D9"/>
          </w:tcPr>
          <w:p w:rsidR="00F57415" w:rsidRPr="00F57415" w:rsidRDefault="00F57415" w:rsidP="00F57415">
            <w:pPr>
              <w:jc w:val="center"/>
              <w:rPr>
                <w:rFonts w:ascii="Arial" w:hAnsi="Arial" w:cs="Arial"/>
                <w:b/>
                <w:sz w:val="20"/>
                <w:szCs w:val="20"/>
              </w:rPr>
            </w:pPr>
            <w:r>
              <w:rPr>
                <w:rFonts w:ascii="Arial" w:hAnsi="Arial" w:cs="Arial"/>
                <w:b/>
                <w:sz w:val="20"/>
                <w:szCs w:val="20"/>
              </w:rPr>
              <w:t>Jurisdiction</w:t>
            </w:r>
          </w:p>
        </w:tc>
        <w:tc>
          <w:tcPr>
            <w:tcW w:w="3544" w:type="dxa"/>
            <w:shd w:val="clear" w:color="auto" w:fill="D9D9D9" w:themeFill="background1" w:themeFillShade="D9"/>
          </w:tcPr>
          <w:p w:rsidR="00F57415" w:rsidRPr="00F57415" w:rsidRDefault="00F57415" w:rsidP="00F57415">
            <w:pPr>
              <w:jc w:val="center"/>
              <w:rPr>
                <w:rFonts w:ascii="Arial" w:hAnsi="Arial" w:cs="Arial"/>
                <w:b/>
                <w:sz w:val="20"/>
                <w:szCs w:val="20"/>
              </w:rPr>
            </w:pPr>
            <w:r>
              <w:rPr>
                <w:rFonts w:ascii="Arial" w:hAnsi="Arial" w:cs="Arial"/>
                <w:b/>
                <w:sz w:val="20"/>
                <w:szCs w:val="20"/>
              </w:rPr>
              <w:t>Act</w:t>
            </w:r>
          </w:p>
        </w:tc>
        <w:tc>
          <w:tcPr>
            <w:tcW w:w="4252" w:type="dxa"/>
            <w:shd w:val="clear" w:color="auto" w:fill="D9D9D9" w:themeFill="background1" w:themeFillShade="D9"/>
          </w:tcPr>
          <w:p w:rsidR="00F57415" w:rsidRPr="00F57415" w:rsidRDefault="00F57415" w:rsidP="00F57415">
            <w:pPr>
              <w:jc w:val="center"/>
              <w:rPr>
                <w:rFonts w:ascii="Arial" w:hAnsi="Arial" w:cs="Arial"/>
                <w:b/>
                <w:sz w:val="20"/>
                <w:szCs w:val="20"/>
              </w:rPr>
            </w:pPr>
            <w:r>
              <w:rPr>
                <w:rFonts w:ascii="Arial" w:hAnsi="Arial" w:cs="Arial"/>
                <w:b/>
                <w:sz w:val="20"/>
                <w:szCs w:val="20"/>
              </w:rPr>
              <w:t>Regulations</w:t>
            </w:r>
          </w:p>
        </w:tc>
        <w:tc>
          <w:tcPr>
            <w:tcW w:w="4994" w:type="dxa"/>
            <w:shd w:val="clear" w:color="auto" w:fill="D9D9D9" w:themeFill="background1" w:themeFillShade="D9"/>
          </w:tcPr>
          <w:p w:rsidR="00F57415" w:rsidRPr="00F57415" w:rsidRDefault="00F57415" w:rsidP="00F57415">
            <w:pPr>
              <w:jc w:val="center"/>
              <w:rPr>
                <w:rFonts w:ascii="Arial" w:hAnsi="Arial" w:cs="Arial"/>
                <w:b/>
                <w:sz w:val="20"/>
                <w:szCs w:val="20"/>
              </w:rPr>
            </w:pPr>
            <w:r>
              <w:rPr>
                <w:rFonts w:ascii="Arial" w:hAnsi="Arial" w:cs="Arial"/>
                <w:b/>
                <w:sz w:val="20"/>
                <w:szCs w:val="20"/>
              </w:rPr>
              <w:t>Other</w:t>
            </w:r>
          </w:p>
        </w:tc>
      </w:tr>
      <w:tr w:rsidR="00F57415" w:rsidTr="005570B4">
        <w:tc>
          <w:tcPr>
            <w:tcW w:w="1384" w:type="dxa"/>
          </w:tcPr>
          <w:p w:rsidR="00F57415" w:rsidRPr="004C4D29" w:rsidRDefault="00F57415" w:rsidP="00F57415">
            <w:pPr>
              <w:jc w:val="center"/>
              <w:rPr>
                <w:rFonts w:ascii="Arial" w:hAnsi="Arial" w:cs="Arial"/>
                <w:b/>
                <w:sz w:val="20"/>
                <w:szCs w:val="20"/>
              </w:rPr>
            </w:pPr>
            <w:r w:rsidRPr="004C4D29">
              <w:rPr>
                <w:rFonts w:ascii="Arial" w:hAnsi="Arial" w:cs="Arial"/>
                <w:b/>
                <w:sz w:val="20"/>
                <w:szCs w:val="20"/>
              </w:rPr>
              <w:t>ACT</w:t>
            </w:r>
          </w:p>
        </w:tc>
        <w:tc>
          <w:tcPr>
            <w:tcW w:w="3544" w:type="dxa"/>
          </w:tcPr>
          <w:p w:rsidR="001B45A1" w:rsidRPr="001B45A1" w:rsidRDefault="001B45A1" w:rsidP="001B45A1">
            <w:pPr>
              <w:rPr>
                <w:rFonts w:ascii="Arial" w:hAnsi="Arial" w:cs="Arial"/>
                <w:sz w:val="20"/>
                <w:szCs w:val="20"/>
              </w:rPr>
            </w:pPr>
            <w:r w:rsidRPr="001B45A1">
              <w:rPr>
                <w:rFonts w:ascii="Arial" w:hAnsi="Arial" w:cs="Arial"/>
                <w:sz w:val="20"/>
                <w:szCs w:val="20"/>
              </w:rPr>
              <w:t>Children and Young People Act 2008</w:t>
            </w:r>
          </w:p>
          <w:p w:rsidR="00F57415" w:rsidRPr="00F57415" w:rsidRDefault="00F57415" w:rsidP="001B45A1">
            <w:pPr>
              <w:rPr>
                <w:rFonts w:ascii="Arial" w:hAnsi="Arial" w:cs="Arial"/>
                <w:sz w:val="20"/>
                <w:szCs w:val="20"/>
              </w:rPr>
            </w:pPr>
          </w:p>
        </w:tc>
        <w:tc>
          <w:tcPr>
            <w:tcW w:w="4252" w:type="dxa"/>
          </w:tcPr>
          <w:p w:rsidR="00F57415" w:rsidRPr="00F57415" w:rsidRDefault="00F57415">
            <w:pPr>
              <w:rPr>
                <w:rFonts w:ascii="Arial" w:hAnsi="Arial" w:cs="Arial"/>
                <w:sz w:val="20"/>
                <w:szCs w:val="20"/>
              </w:rPr>
            </w:pPr>
          </w:p>
        </w:tc>
        <w:tc>
          <w:tcPr>
            <w:tcW w:w="4994" w:type="dxa"/>
          </w:tcPr>
          <w:p w:rsidR="001B45A1" w:rsidRPr="001B45A1" w:rsidRDefault="001B45A1" w:rsidP="001B45A1">
            <w:pPr>
              <w:pStyle w:val="ListParagraph"/>
              <w:numPr>
                <w:ilvl w:val="0"/>
                <w:numId w:val="15"/>
              </w:numPr>
              <w:rPr>
                <w:rFonts w:ascii="Arial" w:hAnsi="Arial" w:cs="Arial"/>
                <w:sz w:val="20"/>
                <w:szCs w:val="20"/>
              </w:rPr>
            </w:pPr>
            <w:r w:rsidRPr="001B45A1">
              <w:rPr>
                <w:rFonts w:ascii="Arial" w:hAnsi="Arial" w:cs="Arial"/>
                <w:sz w:val="20"/>
                <w:szCs w:val="20"/>
              </w:rPr>
              <w:t>Bail Act 1992</w:t>
            </w:r>
          </w:p>
          <w:p w:rsidR="001B45A1" w:rsidRPr="001B45A1" w:rsidRDefault="001B45A1" w:rsidP="001B45A1">
            <w:pPr>
              <w:pStyle w:val="ListParagraph"/>
              <w:numPr>
                <w:ilvl w:val="0"/>
                <w:numId w:val="15"/>
              </w:numPr>
              <w:rPr>
                <w:rFonts w:ascii="Arial" w:hAnsi="Arial" w:cs="Arial"/>
                <w:sz w:val="20"/>
                <w:szCs w:val="20"/>
              </w:rPr>
            </w:pPr>
            <w:r w:rsidRPr="001B45A1">
              <w:rPr>
                <w:rFonts w:ascii="Arial" w:hAnsi="Arial" w:cs="Arial"/>
                <w:sz w:val="20"/>
                <w:szCs w:val="20"/>
              </w:rPr>
              <w:t>Crimes (Restorative Justice) Act 2004</w:t>
            </w:r>
          </w:p>
          <w:p w:rsidR="001B45A1" w:rsidRPr="001B45A1" w:rsidRDefault="001B45A1" w:rsidP="001B45A1">
            <w:pPr>
              <w:pStyle w:val="ListParagraph"/>
              <w:numPr>
                <w:ilvl w:val="0"/>
                <w:numId w:val="15"/>
              </w:numPr>
              <w:rPr>
                <w:rFonts w:ascii="Arial" w:hAnsi="Arial" w:cs="Arial"/>
                <w:sz w:val="20"/>
                <w:szCs w:val="20"/>
              </w:rPr>
            </w:pPr>
            <w:r w:rsidRPr="001B45A1">
              <w:rPr>
                <w:rFonts w:ascii="Arial" w:hAnsi="Arial" w:cs="Arial"/>
                <w:sz w:val="20"/>
                <w:szCs w:val="20"/>
              </w:rPr>
              <w:t>Crimes (Sentence Administration) Act 2005</w:t>
            </w:r>
          </w:p>
          <w:p w:rsidR="00F57415" w:rsidRPr="001B45A1" w:rsidRDefault="001B45A1" w:rsidP="001B45A1">
            <w:pPr>
              <w:pStyle w:val="ListParagraph"/>
              <w:numPr>
                <w:ilvl w:val="0"/>
                <w:numId w:val="15"/>
              </w:numPr>
              <w:rPr>
                <w:rFonts w:ascii="Arial" w:hAnsi="Arial" w:cs="Arial"/>
                <w:sz w:val="20"/>
                <w:szCs w:val="20"/>
              </w:rPr>
            </w:pPr>
            <w:r w:rsidRPr="001B45A1">
              <w:rPr>
                <w:rFonts w:ascii="Arial" w:hAnsi="Arial" w:cs="Arial"/>
                <w:sz w:val="20"/>
                <w:szCs w:val="20"/>
              </w:rPr>
              <w:t>Crimes (Sentencing) Act 2005</w:t>
            </w:r>
          </w:p>
        </w:tc>
      </w:tr>
      <w:tr w:rsidR="00F57415" w:rsidTr="005570B4">
        <w:tc>
          <w:tcPr>
            <w:tcW w:w="1384" w:type="dxa"/>
          </w:tcPr>
          <w:p w:rsidR="00F57415" w:rsidRPr="004C4D29" w:rsidRDefault="00F57415" w:rsidP="00F57415">
            <w:pPr>
              <w:jc w:val="center"/>
              <w:rPr>
                <w:rFonts w:ascii="Arial" w:hAnsi="Arial" w:cs="Arial"/>
                <w:b/>
                <w:sz w:val="20"/>
                <w:szCs w:val="20"/>
              </w:rPr>
            </w:pPr>
            <w:r w:rsidRPr="004C4D29">
              <w:rPr>
                <w:rFonts w:ascii="Arial" w:hAnsi="Arial" w:cs="Arial"/>
                <w:b/>
                <w:sz w:val="20"/>
                <w:szCs w:val="20"/>
              </w:rPr>
              <w:t>NSW</w:t>
            </w:r>
          </w:p>
        </w:tc>
        <w:tc>
          <w:tcPr>
            <w:tcW w:w="3544" w:type="dxa"/>
          </w:tcPr>
          <w:p w:rsidR="004D722F" w:rsidRPr="004D722F" w:rsidRDefault="004D722F" w:rsidP="004D722F">
            <w:pPr>
              <w:pStyle w:val="ListParagraph"/>
              <w:numPr>
                <w:ilvl w:val="0"/>
                <w:numId w:val="5"/>
              </w:numPr>
              <w:rPr>
                <w:rFonts w:ascii="Arial" w:eastAsia="Times New Roman" w:hAnsi="Arial" w:cs="Arial"/>
                <w:i/>
                <w:sz w:val="20"/>
                <w:szCs w:val="20"/>
                <w:lang w:eastAsia="en-AU"/>
              </w:rPr>
            </w:pPr>
            <w:r w:rsidRPr="004D722F">
              <w:rPr>
                <w:rFonts w:ascii="Arial" w:eastAsia="Times New Roman" w:hAnsi="Arial" w:cs="Arial"/>
                <w:i/>
                <w:sz w:val="20"/>
                <w:szCs w:val="20"/>
                <w:lang w:eastAsia="en-AU"/>
              </w:rPr>
              <w:t>Young Offenders Act 1997</w:t>
            </w:r>
          </w:p>
          <w:p w:rsidR="004D722F" w:rsidRPr="004D722F" w:rsidRDefault="004D722F" w:rsidP="004D722F">
            <w:pPr>
              <w:pStyle w:val="ListParagraph"/>
              <w:numPr>
                <w:ilvl w:val="0"/>
                <w:numId w:val="5"/>
              </w:numPr>
              <w:rPr>
                <w:rFonts w:ascii="Arial" w:hAnsi="Arial" w:cs="Arial"/>
                <w:sz w:val="20"/>
                <w:szCs w:val="20"/>
              </w:rPr>
            </w:pPr>
            <w:r w:rsidRPr="004D722F">
              <w:rPr>
                <w:rFonts w:ascii="Arial" w:hAnsi="Arial" w:cs="Arial"/>
                <w:sz w:val="20"/>
                <w:szCs w:val="20"/>
              </w:rPr>
              <w:t>Children (Community Service Orders) Act 1987</w:t>
            </w:r>
          </w:p>
          <w:p w:rsidR="004D722F" w:rsidRPr="004D722F" w:rsidRDefault="004D722F" w:rsidP="004D722F">
            <w:pPr>
              <w:pStyle w:val="ListParagraph"/>
              <w:numPr>
                <w:ilvl w:val="0"/>
                <w:numId w:val="5"/>
              </w:numPr>
              <w:rPr>
                <w:rFonts w:ascii="Arial" w:hAnsi="Arial" w:cs="Arial"/>
                <w:sz w:val="20"/>
                <w:szCs w:val="20"/>
              </w:rPr>
            </w:pPr>
            <w:r w:rsidRPr="004D722F">
              <w:rPr>
                <w:rFonts w:ascii="Arial" w:hAnsi="Arial" w:cs="Arial"/>
                <w:sz w:val="20"/>
                <w:szCs w:val="20"/>
              </w:rPr>
              <w:t xml:space="preserve">Children (Detention Centres) Act 1987 </w:t>
            </w:r>
          </w:p>
          <w:p w:rsidR="00F57415" w:rsidRPr="00F57415" w:rsidRDefault="00F57415" w:rsidP="004D722F">
            <w:pPr>
              <w:rPr>
                <w:rFonts w:ascii="Arial" w:hAnsi="Arial" w:cs="Arial"/>
                <w:sz w:val="20"/>
                <w:szCs w:val="20"/>
              </w:rPr>
            </w:pPr>
          </w:p>
        </w:tc>
        <w:tc>
          <w:tcPr>
            <w:tcW w:w="4252" w:type="dxa"/>
          </w:tcPr>
          <w:p w:rsidR="004D722F" w:rsidRPr="004D722F" w:rsidRDefault="004D722F" w:rsidP="004D722F">
            <w:pPr>
              <w:pStyle w:val="ListParagraph"/>
              <w:numPr>
                <w:ilvl w:val="0"/>
                <w:numId w:val="6"/>
              </w:numPr>
              <w:rPr>
                <w:rFonts w:ascii="Arial" w:eastAsia="Times New Roman" w:hAnsi="Arial" w:cs="Arial"/>
                <w:i/>
                <w:sz w:val="20"/>
                <w:szCs w:val="20"/>
                <w:lang w:eastAsia="en-AU"/>
              </w:rPr>
            </w:pPr>
            <w:r w:rsidRPr="004D722F">
              <w:rPr>
                <w:rFonts w:ascii="Arial" w:eastAsia="Times New Roman" w:hAnsi="Arial" w:cs="Arial"/>
                <w:i/>
                <w:sz w:val="20"/>
                <w:szCs w:val="20"/>
                <w:lang w:eastAsia="en-AU"/>
              </w:rPr>
              <w:t>Young Offenders Regulation 2010</w:t>
            </w:r>
          </w:p>
          <w:p w:rsidR="004D722F" w:rsidRPr="004D722F" w:rsidRDefault="004D722F" w:rsidP="004D722F">
            <w:pPr>
              <w:pStyle w:val="ListParagraph"/>
              <w:numPr>
                <w:ilvl w:val="0"/>
                <w:numId w:val="6"/>
              </w:numPr>
              <w:rPr>
                <w:rFonts w:ascii="Arial" w:hAnsi="Arial" w:cs="Arial"/>
                <w:sz w:val="20"/>
                <w:szCs w:val="20"/>
              </w:rPr>
            </w:pPr>
            <w:r w:rsidRPr="004D722F">
              <w:rPr>
                <w:rFonts w:ascii="Arial" w:hAnsi="Arial" w:cs="Arial"/>
                <w:sz w:val="20"/>
                <w:szCs w:val="20"/>
              </w:rPr>
              <w:t xml:space="preserve">Children (Community Service Orders) Regulation 2015 </w:t>
            </w:r>
          </w:p>
          <w:p w:rsidR="00F57415" w:rsidRPr="004D722F" w:rsidRDefault="004D722F" w:rsidP="004D722F">
            <w:pPr>
              <w:pStyle w:val="ListParagraph"/>
              <w:numPr>
                <w:ilvl w:val="0"/>
                <w:numId w:val="6"/>
              </w:numPr>
              <w:rPr>
                <w:rFonts w:ascii="Arial" w:hAnsi="Arial" w:cs="Arial"/>
                <w:sz w:val="20"/>
                <w:szCs w:val="20"/>
              </w:rPr>
            </w:pPr>
            <w:r w:rsidRPr="004D722F">
              <w:rPr>
                <w:rFonts w:ascii="Arial" w:hAnsi="Arial" w:cs="Arial"/>
                <w:sz w:val="20"/>
                <w:szCs w:val="20"/>
              </w:rPr>
              <w:t>Children (Detention Centres) Regulation 2015</w:t>
            </w:r>
          </w:p>
        </w:tc>
        <w:tc>
          <w:tcPr>
            <w:tcW w:w="4994" w:type="dxa"/>
          </w:tcPr>
          <w:p w:rsidR="004D722F" w:rsidRPr="004D722F" w:rsidRDefault="004D722F" w:rsidP="004D722F">
            <w:pPr>
              <w:numPr>
                <w:ilvl w:val="0"/>
                <w:numId w:val="3"/>
              </w:numPr>
              <w:tabs>
                <w:tab w:val="num" w:pos="720"/>
              </w:tabs>
              <w:rPr>
                <w:rFonts w:ascii="Arial" w:eastAsia="Times New Roman" w:hAnsi="Arial" w:cs="Arial"/>
                <w:i/>
                <w:sz w:val="20"/>
                <w:szCs w:val="20"/>
                <w:lang w:eastAsia="en-AU"/>
              </w:rPr>
            </w:pPr>
            <w:r w:rsidRPr="004D722F">
              <w:rPr>
                <w:rFonts w:ascii="Arial" w:eastAsia="Times New Roman" w:hAnsi="Arial" w:cs="Arial"/>
                <w:i/>
                <w:sz w:val="20"/>
                <w:szCs w:val="20"/>
                <w:lang w:eastAsia="en-AU"/>
              </w:rPr>
              <w:t>Children (Interstate Transfer Offenders) Act 1988</w:t>
            </w:r>
          </w:p>
          <w:p w:rsidR="004D722F" w:rsidRDefault="004D722F" w:rsidP="004D722F">
            <w:pPr>
              <w:numPr>
                <w:ilvl w:val="0"/>
                <w:numId w:val="3"/>
              </w:numPr>
              <w:tabs>
                <w:tab w:val="num" w:pos="720"/>
              </w:tabs>
              <w:rPr>
                <w:rFonts w:ascii="Arial" w:eastAsia="Times New Roman" w:hAnsi="Arial" w:cs="Arial"/>
                <w:i/>
                <w:sz w:val="20"/>
                <w:szCs w:val="20"/>
                <w:lang w:eastAsia="en-AU"/>
              </w:rPr>
            </w:pPr>
            <w:r w:rsidRPr="004D722F">
              <w:rPr>
                <w:rFonts w:ascii="Arial" w:eastAsia="Times New Roman" w:hAnsi="Arial" w:cs="Arial"/>
                <w:i/>
                <w:sz w:val="20"/>
                <w:szCs w:val="20"/>
                <w:lang w:eastAsia="en-AU"/>
              </w:rPr>
              <w:t>Children (Interstate Transfer Offenders) Regulation 2010</w:t>
            </w:r>
          </w:p>
          <w:p w:rsidR="004D722F" w:rsidRPr="004D722F" w:rsidRDefault="004D722F" w:rsidP="004D722F">
            <w:pPr>
              <w:numPr>
                <w:ilvl w:val="0"/>
                <w:numId w:val="3"/>
              </w:numPr>
              <w:rPr>
                <w:rFonts w:ascii="Arial" w:eastAsia="Times New Roman" w:hAnsi="Arial" w:cs="Arial"/>
                <w:i/>
                <w:sz w:val="20"/>
                <w:szCs w:val="20"/>
                <w:lang w:eastAsia="en-AU"/>
              </w:rPr>
            </w:pPr>
            <w:r w:rsidRPr="004D722F">
              <w:rPr>
                <w:rFonts w:ascii="Arial" w:eastAsia="Times New Roman" w:hAnsi="Arial" w:cs="Arial"/>
                <w:i/>
                <w:sz w:val="20"/>
                <w:szCs w:val="20"/>
                <w:lang w:eastAsia="en-AU"/>
              </w:rPr>
              <w:t>Crimes Act 1900</w:t>
            </w:r>
          </w:p>
          <w:p w:rsidR="004D722F" w:rsidRPr="004D722F" w:rsidRDefault="004D722F" w:rsidP="004D722F">
            <w:pPr>
              <w:numPr>
                <w:ilvl w:val="0"/>
                <w:numId w:val="3"/>
              </w:numPr>
              <w:rPr>
                <w:rFonts w:ascii="Arial" w:eastAsia="Times New Roman" w:hAnsi="Arial" w:cs="Arial"/>
                <w:i/>
                <w:sz w:val="20"/>
                <w:szCs w:val="20"/>
                <w:lang w:eastAsia="en-AU"/>
              </w:rPr>
            </w:pPr>
            <w:r w:rsidRPr="004D722F">
              <w:rPr>
                <w:rFonts w:ascii="Arial" w:eastAsia="Times New Roman" w:hAnsi="Arial" w:cs="Arial"/>
                <w:i/>
                <w:sz w:val="20"/>
                <w:szCs w:val="20"/>
                <w:lang w:eastAsia="en-AU"/>
              </w:rPr>
              <w:t>Crimes Regulation 2015</w:t>
            </w:r>
          </w:p>
          <w:p w:rsidR="00F57415" w:rsidRPr="00F57415" w:rsidRDefault="00F57415">
            <w:pPr>
              <w:rPr>
                <w:rFonts w:ascii="Arial" w:hAnsi="Arial" w:cs="Arial"/>
                <w:sz w:val="20"/>
                <w:szCs w:val="20"/>
              </w:rPr>
            </w:pPr>
          </w:p>
        </w:tc>
      </w:tr>
      <w:tr w:rsidR="00807EC7" w:rsidTr="005570B4">
        <w:tc>
          <w:tcPr>
            <w:tcW w:w="1384" w:type="dxa"/>
          </w:tcPr>
          <w:p w:rsidR="00807EC7" w:rsidRPr="004C4D29" w:rsidRDefault="00807EC7" w:rsidP="00F57415">
            <w:pPr>
              <w:jc w:val="center"/>
              <w:rPr>
                <w:rFonts w:ascii="Arial" w:hAnsi="Arial" w:cs="Arial"/>
                <w:b/>
                <w:sz w:val="20"/>
                <w:szCs w:val="20"/>
              </w:rPr>
            </w:pPr>
            <w:r w:rsidRPr="004C4D29">
              <w:rPr>
                <w:rFonts w:ascii="Arial" w:hAnsi="Arial" w:cs="Arial"/>
                <w:b/>
                <w:sz w:val="20"/>
                <w:szCs w:val="20"/>
              </w:rPr>
              <w:t>NT</w:t>
            </w:r>
          </w:p>
        </w:tc>
        <w:tc>
          <w:tcPr>
            <w:tcW w:w="3544" w:type="dxa"/>
          </w:tcPr>
          <w:p w:rsidR="00807EC7" w:rsidRPr="00F540F6" w:rsidRDefault="00807EC7" w:rsidP="007A4006">
            <w:pPr>
              <w:rPr>
                <w:rFonts w:ascii="Arial" w:hAnsi="Arial" w:cs="Arial"/>
                <w:sz w:val="20"/>
                <w:szCs w:val="20"/>
              </w:rPr>
            </w:pPr>
            <w:r w:rsidRPr="00F540F6">
              <w:rPr>
                <w:rFonts w:ascii="Arial" w:hAnsi="Arial" w:cs="Arial"/>
                <w:sz w:val="20"/>
                <w:szCs w:val="20"/>
              </w:rPr>
              <w:t>Youth Justice Act 2005</w:t>
            </w:r>
          </w:p>
        </w:tc>
        <w:tc>
          <w:tcPr>
            <w:tcW w:w="4252" w:type="dxa"/>
          </w:tcPr>
          <w:p w:rsidR="00807EC7" w:rsidRPr="00F540F6" w:rsidRDefault="00807EC7" w:rsidP="007A4006">
            <w:pPr>
              <w:rPr>
                <w:rFonts w:ascii="Arial" w:hAnsi="Arial" w:cs="Arial"/>
                <w:sz w:val="20"/>
                <w:szCs w:val="20"/>
              </w:rPr>
            </w:pPr>
            <w:r w:rsidRPr="00F540F6">
              <w:rPr>
                <w:rFonts w:ascii="Arial" w:hAnsi="Arial" w:cs="Arial"/>
                <w:sz w:val="20"/>
                <w:szCs w:val="20"/>
              </w:rPr>
              <w:t>Youth Justice Regulation 2005</w:t>
            </w:r>
          </w:p>
        </w:tc>
        <w:tc>
          <w:tcPr>
            <w:tcW w:w="4994" w:type="dxa"/>
          </w:tcPr>
          <w:p w:rsidR="002D0BB7" w:rsidRPr="002D0BB7" w:rsidRDefault="002D0BB7" w:rsidP="002D0BB7">
            <w:pPr>
              <w:pStyle w:val="ListParagraph"/>
              <w:numPr>
                <w:ilvl w:val="0"/>
                <w:numId w:val="7"/>
              </w:numPr>
              <w:rPr>
                <w:rFonts w:ascii="Arial" w:hAnsi="Arial" w:cs="Arial"/>
                <w:sz w:val="20"/>
                <w:szCs w:val="20"/>
              </w:rPr>
            </w:pPr>
            <w:r w:rsidRPr="002D0BB7">
              <w:rPr>
                <w:rFonts w:ascii="Arial" w:hAnsi="Arial" w:cs="Arial"/>
                <w:sz w:val="20"/>
                <w:szCs w:val="20"/>
              </w:rPr>
              <w:t>Cross-border Justice Act</w:t>
            </w:r>
          </w:p>
          <w:p w:rsidR="002D0BB7" w:rsidRPr="002D0BB7" w:rsidRDefault="002D0BB7" w:rsidP="002D0BB7">
            <w:pPr>
              <w:pStyle w:val="ListParagraph"/>
              <w:numPr>
                <w:ilvl w:val="0"/>
                <w:numId w:val="7"/>
              </w:numPr>
              <w:rPr>
                <w:rFonts w:ascii="Arial" w:hAnsi="Arial" w:cs="Arial"/>
                <w:sz w:val="20"/>
                <w:szCs w:val="20"/>
              </w:rPr>
            </w:pPr>
            <w:r w:rsidRPr="002D0BB7">
              <w:rPr>
                <w:rFonts w:ascii="Arial" w:hAnsi="Arial" w:cs="Arial"/>
                <w:sz w:val="20"/>
                <w:szCs w:val="20"/>
              </w:rPr>
              <w:t>Correctional Services Act</w:t>
            </w:r>
          </w:p>
          <w:p w:rsidR="00807EC7" w:rsidRDefault="002D0BB7" w:rsidP="002D0BB7">
            <w:pPr>
              <w:pStyle w:val="ListParagraph"/>
              <w:numPr>
                <w:ilvl w:val="0"/>
                <w:numId w:val="7"/>
              </w:numPr>
              <w:rPr>
                <w:rFonts w:ascii="Arial" w:hAnsi="Arial" w:cs="Arial"/>
                <w:sz w:val="20"/>
                <w:szCs w:val="20"/>
              </w:rPr>
            </w:pPr>
            <w:r w:rsidRPr="002D0BB7">
              <w:rPr>
                <w:rFonts w:ascii="Arial" w:hAnsi="Arial" w:cs="Arial"/>
                <w:sz w:val="20"/>
                <w:szCs w:val="20"/>
              </w:rPr>
              <w:t>Probation and Parole Act</w:t>
            </w:r>
          </w:p>
          <w:p w:rsidR="002D0BB7" w:rsidRPr="002D0BB7" w:rsidRDefault="002D0BB7" w:rsidP="002D0BB7">
            <w:pPr>
              <w:pStyle w:val="ListParagraph"/>
              <w:ind w:left="360"/>
              <w:rPr>
                <w:rFonts w:ascii="Arial" w:hAnsi="Arial" w:cs="Arial"/>
                <w:sz w:val="20"/>
                <w:szCs w:val="20"/>
              </w:rPr>
            </w:pPr>
          </w:p>
        </w:tc>
      </w:tr>
      <w:tr w:rsidR="00F57415" w:rsidTr="005570B4">
        <w:tc>
          <w:tcPr>
            <w:tcW w:w="1384" w:type="dxa"/>
          </w:tcPr>
          <w:p w:rsidR="00F57415" w:rsidRPr="004C4D29" w:rsidRDefault="00F57415" w:rsidP="00F57415">
            <w:pPr>
              <w:jc w:val="center"/>
              <w:rPr>
                <w:rFonts w:ascii="Arial" w:hAnsi="Arial" w:cs="Arial"/>
                <w:b/>
                <w:sz w:val="20"/>
                <w:szCs w:val="20"/>
              </w:rPr>
            </w:pPr>
            <w:r w:rsidRPr="004C4D29">
              <w:rPr>
                <w:rFonts w:ascii="Arial" w:hAnsi="Arial" w:cs="Arial"/>
                <w:b/>
                <w:sz w:val="20"/>
                <w:szCs w:val="20"/>
              </w:rPr>
              <w:t>QLD</w:t>
            </w:r>
          </w:p>
        </w:tc>
        <w:tc>
          <w:tcPr>
            <w:tcW w:w="3544" w:type="dxa"/>
          </w:tcPr>
          <w:p w:rsidR="00F57415" w:rsidRPr="00F57415" w:rsidRDefault="00F57415" w:rsidP="00F57415">
            <w:pPr>
              <w:rPr>
                <w:rFonts w:ascii="Arial" w:hAnsi="Arial" w:cs="Arial"/>
                <w:sz w:val="20"/>
                <w:szCs w:val="20"/>
              </w:rPr>
            </w:pPr>
            <w:r w:rsidRPr="00F57415">
              <w:rPr>
                <w:rFonts w:ascii="Arial" w:hAnsi="Arial" w:cs="Arial"/>
                <w:sz w:val="20"/>
                <w:szCs w:val="20"/>
              </w:rPr>
              <w:t>Youth Justice Act 1992</w:t>
            </w:r>
          </w:p>
          <w:p w:rsidR="00F57415" w:rsidRPr="00F57415" w:rsidRDefault="00F57415" w:rsidP="00F57415">
            <w:pPr>
              <w:rPr>
                <w:rFonts w:ascii="Arial" w:hAnsi="Arial" w:cs="Arial"/>
                <w:sz w:val="20"/>
                <w:szCs w:val="20"/>
              </w:rPr>
            </w:pPr>
          </w:p>
        </w:tc>
        <w:tc>
          <w:tcPr>
            <w:tcW w:w="4252" w:type="dxa"/>
          </w:tcPr>
          <w:p w:rsidR="00F57415" w:rsidRPr="00F57415" w:rsidRDefault="00F57415" w:rsidP="00F57415">
            <w:pPr>
              <w:rPr>
                <w:rFonts w:ascii="Arial" w:hAnsi="Arial" w:cs="Arial"/>
                <w:sz w:val="20"/>
                <w:szCs w:val="20"/>
              </w:rPr>
            </w:pPr>
            <w:r w:rsidRPr="00F57415">
              <w:rPr>
                <w:rFonts w:ascii="Arial" w:hAnsi="Arial" w:cs="Arial"/>
                <w:sz w:val="20"/>
                <w:szCs w:val="20"/>
              </w:rPr>
              <w:t>Youth Justice Regulation 2003</w:t>
            </w:r>
          </w:p>
          <w:p w:rsidR="00F57415" w:rsidRPr="00F57415" w:rsidRDefault="00F57415">
            <w:pPr>
              <w:rPr>
                <w:rFonts w:ascii="Arial" w:hAnsi="Arial" w:cs="Arial"/>
                <w:sz w:val="20"/>
                <w:szCs w:val="20"/>
              </w:rPr>
            </w:pPr>
          </w:p>
        </w:tc>
        <w:tc>
          <w:tcPr>
            <w:tcW w:w="4994" w:type="dxa"/>
          </w:tcPr>
          <w:p w:rsidR="00F57415" w:rsidRPr="00F57415" w:rsidRDefault="00F57415">
            <w:pPr>
              <w:rPr>
                <w:rFonts w:ascii="Arial" w:hAnsi="Arial" w:cs="Arial"/>
                <w:sz w:val="20"/>
                <w:szCs w:val="20"/>
              </w:rPr>
            </w:pPr>
            <w:r w:rsidRPr="00F57415">
              <w:rPr>
                <w:rFonts w:ascii="Arial" w:hAnsi="Arial" w:cs="Arial"/>
                <w:sz w:val="20"/>
                <w:szCs w:val="20"/>
              </w:rPr>
              <w:t>Young Offenders (Interstate Transfer) Act 1987</w:t>
            </w:r>
          </w:p>
        </w:tc>
      </w:tr>
      <w:tr w:rsidR="00F57415" w:rsidTr="005570B4">
        <w:tc>
          <w:tcPr>
            <w:tcW w:w="1384" w:type="dxa"/>
          </w:tcPr>
          <w:p w:rsidR="00F57415" w:rsidRPr="004C4D29" w:rsidRDefault="00F57415" w:rsidP="00F57415">
            <w:pPr>
              <w:jc w:val="center"/>
              <w:rPr>
                <w:rFonts w:ascii="Arial" w:hAnsi="Arial" w:cs="Arial"/>
                <w:b/>
                <w:sz w:val="20"/>
                <w:szCs w:val="20"/>
              </w:rPr>
            </w:pPr>
            <w:r w:rsidRPr="004C4D29">
              <w:rPr>
                <w:rFonts w:ascii="Arial" w:hAnsi="Arial" w:cs="Arial"/>
                <w:b/>
                <w:sz w:val="20"/>
                <w:szCs w:val="20"/>
              </w:rPr>
              <w:t>SA</w:t>
            </w:r>
          </w:p>
        </w:tc>
        <w:tc>
          <w:tcPr>
            <w:tcW w:w="3544" w:type="dxa"/>
          </w:tcPr>
          <w:p w:rsidR="00F540F6" w:rsidRPr="00F540F6" w:rsidRDefault="00F540F6" w:rsidP="00F540F6">
            <w:pPr>
              <w:pStyle w:val="ListParagraph"/>
              <w:numPr>
                <w:ilvl w:val="0"/>
                <w:numId w:val="1"/>
              </w:numPr>
              <w:rPr>
                <w:rFonts w:ascii="Arial" w:hAnsi="Arial" w:cs="Arial"/>
                <w:sz w:val="20"/>
                <w:szCs w:val="20"/>
              </w:rPr>
            </w:pPr>
            <w:r w:rsidRPr="00F540F6">
              <w:rPr>
                <w:rFonts w:ascii="Arial" w:hAnsi="Arial" w:cs="Arial"/>
                <w:sz w:val="20"/>
                <w:szCs w:val="20"/>
              </w:rPr>
              <w:t xml:space="preserve">Young Offenders Act 1993 </w:t>
            </w:r>
          </w:p>
          <w:p w:rsidR="00F57415" w:rsidRPr="00F540F6" w:rsidRDefault="00F540F6" w:rsidP="00F540F6">
            <w:pPr>
              <w:pStyle w:val="ListParagraph"/>
              <w:numPr>
                <w:ilvl w:val="0"/>
                <w:numId w:val="1"/>
              </w:numPr>
              <w:rPr>
                <w:rFonts w:ascii="Arial" w:hAnsi="Arial" w:cs="Arial"/>
                <w:sz w:val="20"/>
                <w:szCs w:val="20"/>
              </w:rPr>
            </w:pPr>
            <w:r w:rsidRPr="00F540F6">
              <w:rPr>
                <w:rFonts w:ascii="Arial" w:hAnsi="Arial" w:cs="Arial"/>
                <w:sz w:val="20"/>
                <w:szCs w:val="20"/>
              </w:rPr>
              <w:t>Family and Community Services Act 1972</w:t>
            </w:r>
          </w:p>
        </w:tc>
        <w:tc>
          <w:tcPr>
            <w:tcW w:w="4252" w:type="dxa"/>
          </w:tcPr>
          <w:p w:rsidR="00F57415" w:rsidRPr="00F57415" w:rsidRDefault="00F540F6">
            <w:pPr>
              <w:rPr>
                <w:rFonts w:ascii="Arial" w:hAnsi="Arial" w:cs="Arial"/>
                <w:sz w:val="20"/>
                <w:szCs w:val="20"/>
              </w:rPr>
            </w:pPr>
            <w:r w:rsidRPr="00F540F6">
              <w:rPr>
                <w:rFonts w:ascii="Arial" w:hAnsi="Arial" w:cs="Arial"/>
                <w:sz w:val="20"/>
                <w:szCs w:val="20"/>
              </w:rPr>
              <w:t>Family and Community Services Regulations 2009</w:t>
            </w:r>
          </w:p>
        </w:tc>
        <w:tc>
          <w:tcPr>
            <w:tcW w:w="4994" w:type="dxa"/>
          </w:tcPr>
          <w:p w:rsidR="00F540F6" w:rsidRPr="00F540F6" w:rsidRDefault="00F540F6" w:rsidP="00F540F6">
            <w:pPr>
              <w:pStyle w:val="ListParagraph"/>
              <w:numPr>
                <w:ilvl w:val="0"/>
                <w:numId w:val="2"/>
              </w:numPr>
              <w:rPr>
                <w:rFonts w:ascii="Arial" w:hAnsi="Arial" w:cs="Arial"/>
                <w:sz w:val="20"/>
                <w:szCs w:val="20"/>
              </w:rPr>
            </w:pPr>
            <w:r w:rsidRPr="00F540F6">
              <w:rPr>
                <w:rFonts w:ascii="Arial" w:hAnsi="Arial" w:cs="Arial"/>
                <w:sz w:val="20"/>
                <w:szCs w:val="20"/>
              </w:rPr>
              <w:t>Criminal Law Consolidation Act 1935</w:t>
            </w:r>
          </w:p>
          <w:p w:rsidR="00F540F6" w:rsidRPr="00F540F6" w:rsidRDefault="00F540F6" w:rsidP="00F540F6">
            <w:pPr>
              <w:pStyle w:val="ListParagraph"/>
              <w:numPr>
                <w:ilvl w:val="0"/>
                <w:numId w:val="2"/>
              </w:numPr>
              <w:rPr>
                <w:rFonts w:ascii="Arial" w:hAnsi="Arial" w:cs="Arial"/>
                <w:sz w:val="20"/>
                <w:szCs w:val="20"/>
              </w:rPr>
            </w:pPr>
            <w:r w:rsidRPr="00F540F6">
              <w:rPr>
                <w:rFonts w:ascii="Arial" w:hAnsi="Arial" w:cs="Arial"/>
                <w:sz w:val="20"/>
                <w:szCs w:val="20"/>
              </w:rPr>
              <w:t>Criminal Law (Sentencing) Act 1988</w:t>
            </w:r>
          </w:p>
          <w:p w:rsidR="00F540F6" w:rsidRPr="00F540F6" w:rsidRDefault="00F540F6" w:rsidP="00F540F6">
            <w:pPr>
              <w:pStyle w:val="ListParagraph"/>
              <w:numPr>
                <w:ilvl w:val="0"/>
                <w:numId w:val="2"/>
              </w:numPr>
              <w:rPr>
                <w:rFonts w:ascii="Arial" w:hAnsi="Arial" w:cs="Arial"/>
                <w:sz w:val="20"/>
                <w:szCs w:val="20"/>
              </w:rPr>
            </w:pPr>
            <w:r w:rsidRPr="00F540F6">
              <w:rPr>
                <w:rFonts w:ascii="Arial" w:hAnsi="Arial" w:cs="Arial"/>
                <w:sz w:val="20"/>
                <w:szCs w:val="20"/>
              </w:rPr>
              <w:t>Bail Act 1985, Summary Procedure Act 1921</w:t>
            </w:r>
          </w:p>
          <w:p w:rsidR="00F57415" w:rsidRDefault="00F540F6" w:rsidP="00F540F6">
            <w:pPr>
              <w:pStyle w:val="ListParagraph"/>
              <w:numPr>
                <w:ilvl w:val="0"/>
                <w:numId w:val="2"/>
              </w:numPr>
              <w:rPr>
                <w:rFonts w:ascii="Arial" w:hAnsi="Arial" w:cs="Arial"/>
                <w:sz w:val="20"/>
                <w:szCs w:val="20"/>
              </w:rPr>
            </w:pPr>
            <w:r w:rsidRPr="00F540F6">
              <w:rPr>
                <w:rFonts w:ascii="Arial" w:hAnsi="Arial" w:cs="Arial"/>
                <w:sz w:val="20"/>
                <w:szCs w:val="20"/>
              </w:rPr>
              <w:t>Summary Offences Act 1953</w:t>
            </w:r>
          </w:p>
          <w:p w:rsidR="002D0BB7" w:rsidRPr="00F540F6" w:rsidRDefault="002D0BB7" w:rsidP="002D0BB7">
            <w:pPr>
              <w:pStyle w:val="ListParagraph"/>
              <w:ind w:left="360"/>
              <w:rPr>
                <w:rFonts w:ascii="Arial" w:hAnsi="Arial" w:cs="Arial"/>
                <w:sz w:val="20"/>
                <w:szCs w:val="20"/>
              </w:rPr>
            </w:pPr>
          </w:p>
        </w:tc>
      </w:tr>
      <w:tr w:rsidR="001B45A1" w:rsidTr="005570B4">
        <w:tc>
          <w:tcPr>
            <w:tcW w:w="1384" w:type="dxa"/>
          </w:tcPr>
          <w:p w:rsidR="001B45A1" w:rsidRPr="004C4D29" w:rsidRDefault="001B45A1" w:rsidP="00F57415">
            <w:pPr>
              <w:jc w:val="center"/>
              <w:rPr>
                <w:rFonts w:ascii="Arial" w:hAnsi="Arial" w:cs="Arial"/>
                <w:b/>
                <w:sz w:val="20"/>
                <w:szCs w:val="20"/>
              </w:rPr>
            </w:pPr>
            <w:r w:rsidRPr="004C4D29">
              <w:rPr>
                <w:rFonts w:ascii="Arial" w:hAnsi="Arial" w:cs="Arial"/>
                <w:b/>
                <w:sz w:val="20"/>
                <w:szCs w:val="20"/>
              </w:rPr>
              <w:t>TAS</w:t>
            </w:r>
          </w:p>
        </w:tc>
        <w:tc>
          <w:tcPr>
            <w:tcW w:w="3544" w:type="dxa"/>
          </w:tcPr>
          <w:p w:rsidR="001B45A1" w:rsidRPr="00F57415" w:rsidRDefault="001B45A1" w:rsidP="007433C4">
            <w:pPr>
              <w:rPr>
                <w:rFonts w:ascii="Arial" w:hAnsi="Arial" w:cs="Arial"/>
                <w:sz w:val="20"/>
                <w:szCs w:val="20"/>
              </w:rPr>
            </w:pPr>
            <w:r>
              <w:rPr>
                <w:rFonts w:ascii="Arial" w:hAnsi="Arial" w:cs="Arial"/>
                <w:sz w:val="20"/>
                <w:szCs w:val="20"/>
              </w:rPr>
              <w:t>Youth Justice Act 1997</w:t>
            </w:r>
          </w:p>
        </w:tc>
        <w:tc>
          <w:tcPr>
            <w:tcW w:w="4252" w:type="dxa"/>
          </w:tcPr>
          <w:p w:rsidR="001B45A1" w:rsidRPr="00F57415" w:rsidRDefault="001B45A1" w:rsidP="007433C4">
            <w:pPr>
              <w:rPr>
                <w:rFonts w:ascii="Arial" w:hAnsi="Arial" w:cs="Arial"/>
                <w:sz w:val="20"/>
                <w:szCs w:val="20"/>
              </w:rPr>
            </w:pPr>
          </w:p>
        </w:tc>
        <w:tc>
          <w:tcPr>
            <w:tcW w:w="4994" w:type="dxa"/>
          </w:tcPr>
          <w:p w:rsidR="001B45A1" w:rsidRPr="001B45A1" w:rsidRDefault="001B45A1" w:rsidP="007433C4">
            <w:pPr>
              <w:pStyle w:val="ListParagraph"/>
              <w:numPr>
                <w:ilvl w:val="0"/>
                <w:numId w:val="14"/>
              </w:numPr>
              <w:rPr>
                <w:rFonts w:ascii="Arial" w:hAnsi="Arial" w:cs="Arial"/>
                <w:sz w:val="20"/>
                <w:szCs w:val="20"/>
              </w:rPr>
            </w:pPr>
            <w:r w:rsidRPr="001B45A1">
              <w:rPr>
                <w:rFonts w:ascii="Arial" w:hAnsi="Arial" w:cs="Arial"/>
                <w:sz w:val="20"/>
                <w:szCs w:val="20"/>
              </w:rPr>
              <w:t>Bail Act 1994</w:t>
            </w:r>
          </w:p>
          <w:p w:rsidR="001B45A1" w:rsidRPr="001B45A1" w:rsidRDefault="001B45A1" w:rsidP="007433C4">
            <w:pPr>
              <w:pStyle w:val="ListParagraph"/>
              <w:numPr>
                <w:ilvl w:val="0"/>
                <w:numId w:val="14"/>
              </w:numPr>
              <w:rPr>
                <w:rFonts w:ascii="Arial" w:hAnsi="Arial" w:cs="Arial"/>
                <w:sz w:val="20"/>
                <w:szCs w:val="20"/>
              </w:rPr>
            </w:pPr>
            <w:r w:rsidRPr="001B45A1">
              <w:rPr>
                <w:rFonts w:ascii="Arial" w:hAnsi="Arial" w:cs="Arial"/>
                <w:sz w:val="20"/>
                <w:szCs w:val="20"/>
              </w:rPr>
              <w:t>Children, Young Persons and Their Families Act 1997</w:t>
            </w:r>
          </w:p>
          <w:p w:rsidR="001B45A1" w:rsidRPr="001B45A1" w:rsidRDefault="001B45A1" w:rsidP="007433C4">
            <w:pPr>
              <w:pStyle w:val="ListParagraph"/>
              <w:numPr>
                <w:ilvl w:val="0"/>
                <w:numId w:val="14"/>
              </w:numPr>
              <w:rPr>
                <w:rFonts w:ascii="Arial" w:hAnsi="Arial" w:cs="Arial"/>
                <w:sz w:val="20"/>
                <w:szCs w:val="20"/>
              </w:rPr>
            </w:pPr>
            <w:r w:rsidRPr="001B45A1">
              <w:rPr>
                <w:rFonts w:ascii="Arial" w:hAnsi="Arial" w:cs="Arial"/>
                <w:sz w:val="20"/>
                <w:szCs w:val="20"/>
              </w:rPr>
              <w:t>Police Offences Act 1935</w:t>
            </w:r>
          </w:p>
          <w:p w:rsidR="001B45A1" w:rsidRPr="001B45A1" w:rsidRDefault="001B45A1" w:rsidP="007433C4">
            <w:pPr>
              <w:pStyle w:val="ListParagraph"/>
              <w:numPr>
                <w:ilvl w:val="0"/>
                <w:numId w:val="14"/>
              </w:numPr>
              <w:rPr>
                <w:rFonts w:ascii="Arial" w:hAnsi="Arial" w:cs="Arial"/>
                <w:sz w:val="20"/>
                <w:szCs w:val="20"/>
              </w:rPr>
            </w:pPr>
            <w:r w:rsidRPr="001B45A1">
              <w:rPr>
                <w:rFonts w:ascii="Arial" w:hAnsi="Arial" w:cs="Arial"/>
                <w:sz w:val="20"/>
                <w:szCs w:val="20"/>
              </w:rPr>
              <w:t>Sentencing Act 1997</w:t>
            </w:r>
          </w:p>
          <w:p w:rsidR="001B45A1" w:rsidRPr="00F57415" w:rsidRDefault="001B45A1" w:rsidP="007433C4">
            <w:pPr>
              <w:rPr>
                <w:rFonts w:ascii="Arial" w:hAnsi="Arial" w:cs="Arial"/>
                <w:sz w:val="20"/>
                <w:szCs w:val="20"/>
              </w:rPr>
            </w:pPr>
          </w:p>
        </w:tc>
      </w:tr>
      <w:tr w:rsidR="001B45A1" w:rsidTr="005570B4">
        <w:tc>
          <w:tcPr>
            <w:tcW w:w="1384" w:type="dxa"/>
          </w:tcPr>
          <w:p w:rsidR="001B45A1" w:rsidRPr="004C4D29" w:rsidRDefault="001B45A1" w:rsidP="00F57415">
            <w:pPr>
              <w:jc w:val="center"/>
              <w:rPr>
                <w:rFonts w:ascii="Arial" w:hAnsi="Arial" w:cs="Arial"/>
                <w:b/>
                <w:sz w:val="20"/>
                <w:szCs w:val="20"/>
              </w:rPr>
            </w:pPr>
            <w:r w:rsidRPr="004C4D29">
              <w:rPr>
                <w:rFonts w:ascii="Arial" w:hAnsi="Arial" w:cs="Arial"/>
                <w:b/>
                <w:sz w:val="20"/>
                <w:szCs w:val="20"/>
              </w:rPr>
              <w:t>VIC</w:t>
            </w:r>
          </w:p>
        </w:tc>
        <w:tc>
          <w:tcPr>
            <w:tcW w:w="3544" w:type="dxa"/>
          </w:tcPr>
          <w:p w:rsidR="001B45A1" w:rsidRPr="001B45A1" w:rsidRDefault="001B45A1" w:rsidP="001B45A1">
            <w:pPr>
              <w:rPr>
                <w:rFonts w:ascii="Arial" w:hAnsi="Arial" w:cs="Arial"/>
                <w:sz w:val="20"/>
                <w:szCs w:val="20"/>
              </w:rPr>
            </w:pPr>
            <w:r w:rsidRPr="001B45A1">
              <w:rPr>
                <w:rFonts w:ascii="Arial" w:hAnsi="Arial" w:cs="Arial"/>
                <w:sz w:val="20"/>
                <w:szCs w:val="20"/>
              </w:rPr>
              <w:t>Children, Youth and Families Act 2005 (enacted in April 2007)</w:t>
            </w:r>
          </w:p>
          <w:p w:rsidR="001B45A1" w:rsidRPr="00F57415" w:rsidRDefault="001B45A1" w:rsidP="001B45A1">
            <w:pPr>
              <w:rPr>
                <w:rFonts w:ascii="Arial" w:hAnsi="Arial" w:cs="Arial"/>
                <w:sz w:val="20"/>
                <w:szCs w:val="20"/>
              </w:rPr>
            </w:pPr>
          </w:p>
        </w:tc>
        <w:tc>
          <w:tcPr>
            <w:tcW w:w="4252" w:type="dxa"/>
          </w:tcPr>
          <w:p w:rsidR="001B45A1" w:rsidRPr="00F57415" w:rsidRDefault="00012D1F" w:rsidP="00012D1F">
            <w:pPr>
              <w:rPr>
                <w:rFonts w:ascii="Arial" w:hAnsi="Arial" w:cs="Arial"/>
                <w:sz w:val="20"/>
                <w:szCs w:val="20"/>
              </w:rPr>
            </w:pPr>
            <w:r w:rsidRPr="00012D1F">
              <w:rPr>
                <w:rFonts w:ascii="Arial" w:hAnsi="Arial" w:cs="Arial"/>
                <w:sz w:val="20"/>
                <w:szCs w:val="20"/>
              </w:rPr>
              <w:t>Children, Youth and Families Regulations 2007</w:t>
            </w:r>
          </w:p>
        </w:tc>
        <w:tc>
          <w:tcPr>
            <w:tcW w:w="4994" w:type="dxa"/>
          </w:tcPr>
          <w:p w:rsidR="001B45A1" w:rsidRPr="001B45A1" w:rsidRDefault="001B45A1" w:rsidP="001B45A1">
            <w:pPr>
              <w:pStyle w:val="ListParagraph"/>
              <w:numPr>
                <w:ilvl w:val="0"/>
                <w:numId w:val="16"/>
              </w:numPr>
              <w:rPr>
                <w:rFonts w:ascii="Arial" w:hAnsi="Arial" w:cs="Arial"/>
                <w:sz w:val="20"/>
                <w:szCs w:val="20"/>
              </w:rPr>
            </w:pPr>
            <w:r w:rsidRPr="001B45A1">
              <w:rPr>
                <w:rFonts w:ascii="Arial" w:hAnsi="Arial" w:cs="Arial"/>
                <w:sz w:val="20"/>
                <w:szCs w:val="20"/>
              </w:rPr>
              <w:t>Bail Act 1977</w:t>
            </w:r>
          </w:p>
          <w:p w:rsidR="001B45A1" w:rsidRPr="001B45A1" w:rsidRDefault="001B45A1" w:rsidP="001B45A1">
            <w:pPr>
              <w:pStyle w:val="ListParagraph"/>
              <w:numPr>
                <w:ilvl w:val="0"/>
                <w:numId w:val="16"/>
              </w:numPr>
              <w:rPr>
                <w:rFonts w:ascii="Arial" w:hAnsi="Arial" w:cs="Arial"/>
                <w:sz w:val="20"/>
                <w:szCs w:val="20"/>
              </w:rPr>
            </w:pPr>
            <w:r w:rsidRPr="001B45A1">
              <w:rPr>
                <w:rFonts w:ascii="Arial" w:hAnsi="Arial" w:cs="Arial"/>
                <w:sz w:val="20"/>
                <w:szCs w:val="20"/>
              </w:rPr>
              <w:t>Crimes Act 1958</w:t>
            </w:r>
          </w:p>
          <w:p w:rsidR="001B45A1" w:rsidRPr="001B45A1" w:rsidRDefault="001B45A1" w:rsidP="001B45A1">
            <w:pPr>
              <w:pStyle w:val="ListParagraph"/>
              <w:numPr>
                <w:ilvl w:val="0"/>
                <w:numId w:val="16"/>
              </w:numPr>
              <w:rPr>
                <w:rFonts w:ascii="Arial" w:hAnsi="Arial" w:cs="Arial"/>
                <w:sz w:val="20"/>
                <w:szCs w:val="20"/>
              </w:rPr>
            </w:pPr>
            <w:r w:rsidRPr="001B45A1">
              <w:rPr>
                <w:rFonts w:ascii="Arial" w:hAnsi="Arial" w:cs="Arial"/>
                <w:sz w:val="20"/>
                <w:szCs w:val="20"/>
              </w:rPr>
              <w:t>Sentencing Act 1991</w:t>
            </w:r>
          </w:p>
        </w:tc>
      </w:tr>
      <w:tr w:rsidR="001B45A1" w:rsidTr="005570B4">
        <w:tc>
          <w:tcPr>
            <w:tcW w:w="1384" w:type="dxa"/>
          </w:tcPr>
          <w:p w:rsidR="001B45A1" w:rsidRPr="004C4D29" w:rsidRDefault="001B45A1" w:rsidP="00F57415">
            <w:pPr>
              <w:jc w:val="center"/>
              <w:rPr>
                <w:rFonts w:ascii="Arial" w:hAnsi="Arial" w:cs="Arial"/>
                <w:b/>
                <w:sz w:val="20"/>
                <w:szCs w:val="20"/>
              </w:rPr>
            </w:pPr>
            <w:r w:rsidRPr="004C4D29">
              <w:rPr>
                <w:rFonts w:ascii="Arial" w:hAnsi="Arial" w:cs="Arial"/>
                <w:b/>
                <w:sz w:val="20"/>
                <w:szCs w:val="20"/>
              </w:rPr>
              <w:t>WA</w:t>
            </w:r>
          </w:p>
        </w:tc>
        <w:tc>
          <w:tcPr>
            <w:tcW w:w="3544" w:type="dxa"/>
          </w:tcPr>
          <w:p w:rsidR="001B45A1" w:rsidRPr="00211001" w:rsidRDefault="00DE7C4B" w:rsidP="00211001">
            <w:pPr>
              <w:rPr>
                <w:rFonts w:ascii="Arial" w:hAnsi="Arial" w:cs="Arial"/>
                <w:color w:val="000000" w:themeColor="text1"/>
                <w:sz w:val="20"/>
                <w:szCs w:val="20"/>
              </w:rPr>
            </w:pPr>
            <w:hyperlink r:id="rId8" w:history="1">
              <w:r w:rsidR="001B45A1" w:rsidRPr="00211001">
                <w:rPr>
                  <w:rStyle w:val="Hyperlink"/>
                  <w:rFonts w:ascii="Arial" w:hAnsi="Arial" w:cs="Arial"/>
                  <w:i/>
                  <w:iCs/>
                  <w:color w:val="000000" w:themeColor="text1"/>
                  <w:sz w:val="20"/>
                  <w:szCs w:val="20"/>
                </w:rPr>
                <w:t>Young Offenders Act 1994</w:t>
              </w:r>
            </w:hyperlink>
            <w:r w:rsidR="001B45A1" w:rsidRPr="00211001">
              <w:rPr>
                <w:rFonts w:ascii="Arial" w:hAnsi="Arial" w:cs="Arial"/>
                <w:i/>
                <w:iCs/>
                <w:color w:val="000000" w:themeColor="text1"/>
                <w:sz w:val="20"/>
                <w:szCs w:val="20"/>
                <w:u w:val="single"/>
              </w:rPr>
              <w:t xml:space="preserve"> </w:t>
            </w:r>
          </w:p>
          <w:p w:rsidR="001B45A1" w:rsidRPr="00211001" w:rsidRDefault="001B45A1">
            <w:pPr>
              <w:rPr>
                <w:rFonts w:ascii="Arial" w:hAnsi="Arial" w:cs="Arial"/>
                <w:color w:val="000000" w:themeColor="text1"/>
                <w:sz w:val="20"/>
                <w:szCs w:val="20"/>
              </w:rPr>
            </w:pPr>
          </w:p>
        </w:tc>
        <w:tc>
          <w:tcPr>
            <w:tcW w:w="4252" w:type="dxa"/>
          </w:tcPr>
          <w:p w:rsidR="001B45A1" w:rsidRPr="00211001" w:rsidRDefault="00DE7C4B" w:rsidP="00211001">
            <w:pPr>
              <w:rPr>
                <w:rFonts w:ascii="Arial" w:hAnsi="Arial" w:cs="Arial"/>
                <w:color w:val="000000" w:themeColor="text1"/>
                <w:sz w:val="20"/>
                <w:szCs w:val="20"/>
              </w:rPr>
            </w:pPr>
            <w:hyperlink r:id="rId9" w:history="1">
              <w:r w:rsidR="001B45A1" w:rsidRPr="00211001">
                <w:rPr>
                  <w:rStyle w:val="Hyperlink"/>
                  <w:rFonts w:ascii="Arial" w:hAnsi="Arial" w:cs="Arial"/>
                  <w:color w:val="000000" w:themeColor="text1"/>
                  <w:sz w:val="20"/>
                  <w:szCs w:val="20"/>
                </w:rPr>
                <w:t>Young Offenders Regulations 1995</w:t>
              </w:r>
            </w:hyperlink>
            <w:r w:rsidR="001B45A1" w:rsidRPr="00211001">
              <w:rPr>
                <w:rFonts w:ascii="Arial" w:hAnsi="Arial" w:cs="Arial"/>
                <w:color w:val="000000" w:themeColor="text1"/>
                <w:sz w:val="20"/>
                <w:szCs w:val="20"/>
                <w:u w:val="single"/>
              </w:rPr>
              <w:t xml:space="preserve"> </w:t>
            </w:r>
          </w:p>
          <w:p w:rsidR="001B45A1" w:rsidRPr="00211001" w:rsidRDefault="001B45A1">
            <w:pPr>
              <w:rPr>
                <w:rFonts w:ascii="Arial" w:hAnsi="Arial" w:cs="Arial"/>
                <w:color w:val="000000" w:themeColor="text1"/>
                <w:sz w:val="20"/>
                <w:szCs w:val="20"/>
              </w:rPr>
            </w:pPr>
          </w:p>
        </w:tc>
        <w:tc>
          <w:tcPr>
            <w:tcW w:w="4994" w:type="dxa"/>
          </w:tcPr>
          <w:p w:rsidR="001B45A1" w:rsidRPr="00211001" w:rsidRDefault="00DE7C4B" w:rsidP="00211001">
            <w:pPr>
              <w:pStyle w:val="ListParagraph"/>
              <w:numPr>
                <w:ilvl w:val="0"/>
                <w:numId w:val="12"/>
              </w:numPr>
              <w:rPr>
                <w:rFonts w:ascii="Arial" w:hAnsi="Arial" w:cs="Arial"/>
                <w:color w:val="000000" w:themeColor="text1"/>
                <w:sz w:val="20"/>
                <w:szCs w:val="20"/>
              </w:rPr>
            </w:pPr>
            <w:hyperlink r:id="rId10" w:history="1">
              <w:r w:rsidR="001B45A1" w:rsidRPr="00211001">
                <w:rPr>
                  <w:rStyle w:val="Hyperlink"/>
                  <w:rFonts w:ascii="Arial" w:hAnsi="Arial" w:cs="Arial"/>
                  <w:i/>
                  <w:iCs/>
                  <w:color w:val="000000" w:themeColor="text1"/>
                  <w:sz w:val="20"/>
                  <w:szCs w:val="20"/>
                </w:rPr>
                <w:t>Children’s Court of Western Australia Act 1988</w:t>
              </w:r>
            </w:hyperlink>
            <w:r w:rsidR="001B45A1" w:rsidRPr="00211001">
              <w:rPr>
                <w:rFonts w:ascii="Arial" w:hAnsi="Arial" w:cs="Arial"/>
                <w:i/>
                <w:iCs/>
                <w:color w:val="000000" w:themeColor="text1"/>
                <w:sz w:val="20"/>
                <w:szCs w:val="20"/>
                <w:u w:val="single"/>
              </w:rPr>
              <w:t xml:space="preserve"> </w:t>
            </w:r>
          </w:p>
          <w:p w:rsidR="001B45A1" w:rsidRPr="00211001" w:rsidRDefault="00DE7C4B" w:rsidP="00211001">
            <w:pPr>
              <w:pStyle w:val="ListParagraph"/>
              <w:numPr>
                <w:ilvl w:val="0"/>
                <w:numId w:val="12"/>
              </w:numPr>
              <w:rPr>
                <w:rFonts w:ascii="Arial" w:hAnsi="Arial" w:cs="Arial"/>
                <w:color w:val="000000" w:themeColor="text1"/>
                <w:sz w:val="20"/>
                <w:szCs w:val="20"/>
              </w:rPr>
            </w:pPr>
            <w:hyperlink r:id="rId11" w:history="1">
              <w:r w:rsidR="001B45A1" w:rsidRPr="00211001">
                <w:rPr>
                  <w:rStyle w:val="Hyperlink"/>
                  <w:rFonts w:ascii="Arial" w:hAnsi="Arial" w:cs="Arial"/>
                  <w:i/>
                  <w:iCs/>
                  <w:color w:val="000000" w:themeColor="text1"/>
                  <w:sz w:val="20"/>
                  <w:szCs w:val="20"/>
                </w:rPr>
                <w:t>Bail Act 1982</w:t>
              </w:r>
            </w:hyperlink>
            <w:r w:rsidR="001B45A1" w:rsidRPr="00211001">
              <w:rPr>
                <w:rFonts w:ascii="Arial" w:hAnsi="Arial" w:cs="Arial"/>
                <w:i/>
                <w:iCs/>
                <w:color w:val="000000" w:themeColor="text1"/>
                <w:sz w:val="20"/>
                <w:szCs w:val="20"/>
                <w:u w:val="single"/>
              </w:rPr>
              <w:t xml:space="preserve"> </w:t>
            </w:r>
          </w:p>
          <w:p w:rsidR="001B45A1" w:rsidRPr="00211001" w:rsidRDefault="00DE7C4B" w:rsidP="00211001">
            <w:pPr>
              <w:pStyle w:val="ListParagraph"/>
              <w:numPr>
                <w:ilvl w:val="0"/>
                <w:numId w:val="12"/>
              </w:numPr>
              <w:rPr>
                <w:rFonts w:ascii="Arial" w:hAnsi="Arial" w:cs="Arial"/>
                <w:color w:val="000000" w:themeColor="text1"/>
                <w:sz w:val="20"/>
                <w:szCs w:val="20"/>
              </w:rPr>
            </w:pPr>
            <w:hyperlink r:id="rId12" w:history="1">
              <w:r w:rsidR="001B45A1" w:rsidRPr="00211001">
                <w:rPr>
                  <w:rStyle w:val="Hyperlink"/>
                  <w:rFonts w:ascii="Arial" w:hAnsi="Arial" w:cs="Arial"/>
                  <w:i/>
                  <w:iCs/>
                  <w:color w:val="000000" w:themeColor="text1"/>
                  <w:sz w:val="20"/>
                  <w:szCs w:val="20"/>
                </w:rPr>
                <w:t>Children and Community Services Act 2004</w:t>
              </w:r>
            </w:hyperlink>
            <w:r w:rsidR="001B45A1" w:rsidRPr="00211001">
              <w:rPr>
                <w:rFonts w:ascii="Arial" w:hAnsi="Arial" w:cs="Arial"/>
                <w:i/>
                <w:iCs/>
                <w:color w:val="000000" w:themeColor="text1"/>
                <w:sz w:val="20"/>
                <w:szCs w:val="20"/>
                <w:u w:val="single"/>
              </w:rPr>
              <w:t xml:space="preserve"> </w:t>
            </w:r>
          </w:p>
          <w:p w:rsidR="001B45A1" w:rsidRPr="00211001" w:rsidRDefault="00DE7C4B" w:rsidP="00211001">
            <w:pPr>
              <w:pStyle w:val="ListParagraph"/>
              <w:numPr>
                <w:ilvl w:val="0"/>
                <w:numId w:val="12"/>
              </w:numPr>
              <w:rPr>
                <w:rFonts w:ascii="Arial" w:hAnsi="Arial" w:cs="Arial"/>
                <w:color w:val="000000" w:themeColor="text1"/>
                <w:sz w:val="20"/>
                <w:szCs w:val="20"/>
              </w:rPr>
            </w:pPr>
            <w:hyperlink r:id="rId13" w:history="1">
              <w:r w:rsidR="001B45A1" w:rsidRPr="00211001">
                <w:rPr>
                  <w:rStyle w:val="Hyperlink"/>
                  <w:rFonts w:ascii="Arial" w:hAnsi="Arial" w:cs="Arial"/>
                  <w:i/>
                  <w:iCs/>
                  <w:color w:val="000000" w:themeColor="text1"/>
                  <w:sz w:val="20"/>
                  <w:szCs w:val="20"/>
                </w:rPr>
                <w:t>Criminal Code Act Compilation Act 1913</w:t>
              </w:r>
            </w:hyperlink>
            <w:r w:rsidR="001B45A1" w:rsidRPr="00211001">
              <w:rPr>
                <w:rFonts w:ascii="Arial" w:hAnsi="Arial" w:cs="Arial"/>
                <w:i/>
                <w:iCs/>
                <w:color w:val="000000" w:themeColor="text1"/>
                <w:sz w:val="20"/>
                <w:szCs w:val="20"/>
                <w:u w:val="single"/>
              </w:rPr>
              <w:t xml:space="preserve"> </w:t>
            </w:r>
          </w:p>
          <w:p w:rsidR="001B45A1" w:rsidRPr="00211001" w:rsidRDefault="00DE7C4B" w:rsidP="00211001">
            <w:pPr>
              <w:pStyle w:val="ListParagraph"/>
              <w:numPr>
                <w:ilvl w:val="0"/>
                <w:numId w:val="12"/>
              </w:numPr>
              <w:rPr>
                <w:rFonts w:ascii="Arial" w:hAnsi="Arial" w:cs="Arial"/>
                <w:color w:val="000000" w:themeColor="text1"/>
                <w:sz w:val="20"/>
                <w:szCs w:val="20"/>
              </w:rPr>
            </w:pPr>
            <w:hyperlink r:id="rId14" w:history="1">
              <w:r w:rsidR="001B45A1" w:rsidRPr="00211001">
                <w:rPr>
                  <w:rStyle w:val="Hyperlink"/>
                  <w:rFonts w:ascii="Arial" w:hAnsi="Arial" w:cs="Arial"/>
                  <w:i/>
                  <w:iCs/>
                  <w:color w:val="000000" w:themeColor="text1"/>
                  <w:sz w:val="20"/>
                  <w:szCs w:val="20"/>
                </w:rPr>
                <w:t>Police Act 1892</w:t>
              </w:r>
            </w:hyperlink>
            <w:r w:rsidR="001B45A1" w:rsidRPr="00211001">
              <w:rPr>
                <w:rFonts w:ascii="Arial" w:hAnsi="Arial" w:cs="Arial"/>
                <w:i/>
                <w:iCs/>
                <w:color w:val="000000" w:themeColor="text1"/>
                <w:sz w:val="20"/>
                <w:szCs w:val="20"/>
                <w:u w:val="single"/>
              </w:rPr>
              <w:t xml:space="preserve"> </w:t>
            </w:r>
          </w:p>
          <w:p w:rsidR="001B45A1" w:rsidRPr="00211001" w:rsidRDefault="00DE7C4B" w:rsidP="00211001">
            <w:pPr>
              <w:pStyle w:val="ListParagraph"/>
              <w:numPr>
                <w:ilvl w:val="0"/>
                <w:numId w:val="12"/>
              </w:numPr>
              <w:rPr>
                <w:rFonts w:ascii="Arial" w:hAnsi="Arial" w:cs="Arial"/>
                <w:color w:val="000000" w:themeColor="text1"/>
                <w:sz w:val="20"/>
                <w:szCs w:val="20"/>
              </w:rPr>
            </w:pPr>
            <w:hyperlink r:id="rId15" w:history="1">
              <w:r w:rsidR="001B45A1" w:rsidRPr="00211001">
                <w:rPr>
                  <w:rStyle w:val="Hyperlink"/>
                  <w:rFonts w:ascii="Arial" w:hAnsi="Arial" w:cs="Arial"/>
                  <w:i/>
                  <w:iCs/>
                  <w:color w:val="000000" w:themeColor="text1"/>
                  <w:sz w:val="20"/>
                  <w:szCs w:val="20"/>
                </w:rPr>
                <w:t>Road Traffic Act 1974</w:t>
              </w:r>
            </w:hyperlink>
            <w:r w:rsidR="001B45A1" w:rsidRPr="00211001">
              <w:rPr>
                <w:rFonts w:ascii="Arial" w:hAnsi="Arial" w:cs="Arial"/>
                <w:i/>
                <w:iCs/>
                <w:color w:val="000000" w:themeColor="text1"/>
                <w:sz w:val="20"/>
                <w:szCs w:val="20"/>
                <w:u w:val="single"/>
              </w:rPr>
              <w:t xml:space="preserve"> </w:t>
            </w:r>
          </w:p>
          <w:p w:rsidR="001B45A1" w:rsidRPr="00211001" w:rsidRDefault="00DE7C4B" w:rsidP="00211001">
            <w:pPr>
              <w:pStyle w:val="ListParagraph"/>
              <w:numPr>
                <w:ilvl w:val="0"/>
                <w:numId w:val="12"/>
              </w:numPr>
              <w:rPr>
                <w:rFonts w:ascii="Arial" w:hAnsi="Arial" w:cs="Arial"/>
                <w:color w:val="000000" w:themeColor="text1"/>
                <w:sz w:val="20"/>
                <w:szCs w:val="20"/>
              </w:rPr>
            </w:pPr>
            <w:hyperlink r:id="rId16" w:history="1">
              <w:r w:rsidR="001B45A1" w:rsidRPr="00211001">
                <w:rPr>
                  <w:rStyle w:val="Hyperlink"/>
                  <w:rFonts w:ascii="Arial" w:hAnsi="Arial" w:cs="Arial"/>
                  <w:i/>
                  <w:iCs/>
                  <w:color w:val="000000" w:themeColor="text1"/>
                  <w:sz w:val="20"/>
                  <w:szCs w:val="20"/>
                </w:rPr>
                <w:t>Sentence Administration Act 2003</w:t>
              </w:r>
            </w:hyperlink>
            <w:r w:rsidR="001B45A1" w:rsidRPr="00211001">
              <w:rPr>
                <w:rFonts w:ascii="Arial" w:hAnsi="Arial" w:cs="Arial"/>
                <w:i/>
                <w:iCs/>
                <w:color w:val="000000" w:themeColor="text1"/>
                <w:sz w:val="20"/>
                <w:szCs w:val="20"/>
                <w:u w:val="single"/>
              </w:rPr>
              <w:t xml:space="preserve"> </w:t>
            </w:r>
          </w:p>
          <w:p w:rsidR="001B45A1" w:rsidRPr="00211001" w:rsidRDefault="00DE7C4B" w:rsidP="00211001">
            <w:pPr>
              <w:pStyle w:val="ListParagraph"/>
              <w:numPr>
                <w:ilvl w:val="0"/>
                <w:numId w:val="12"/>
              </w:numPr>
              <w:rPr>
                <w:rFonts w:ascii="Arial" w:hAnsi="Arial" w:cs="Arial"/>
                <w:color w:val="000000" w:themeColor="text1"/>
                <w:sz w:val="20"/>
                <w:szCs w:val="20"/>
              </w:rPr>
            </w:pPr>
            <w:hyperlink r:id="rId17" w:history="1">
              <w:r w:rsidR="001B45A1" w:rsidRPr="00211001">
                <w:rPr>
                  <w:rStyle w:val="Hyperlink"/>
                  <w:rFonts w:ascii="Arial" w:hAnsi="Arial" w:cs="Arial"/>
                  <w:i/>
                  <w:iCs/>
                  <w:color w:val="000000" w:themeColor="text1"/>
                  <w:sz w:val="20"/>
                  <w:szCs w:val="20"/>
                </w:rPr>
                <w:t>Sentencing Act 1995</w:t>
              </w:r>
            </w:hyperlink>
            <w:r w:rsidR="001B45A1" w:rsidRPr="00211001">
              <w:rPr>
                <w:rFonts w:ascii="Arial" w:hAnsi="Arial" w:cs="Arial"/>
                <w:i/>
                <w:iCs/>
                <w:color w:val="000000" w:themeColor="text1"/>
                <w:sz w:val="20"/>
                <w:szCs w:val="20"/>
                <w:u w:val="single"/>
              </w:rPr>
              <w:t xml:space="preserve"> </w:t>
            </w:r>
          </w:p>
          <w:p w:rsidR="001B45A1" w:rsidRPr="00211001" w:rsidRDefault="00DE7C4B" w:rsidP="00211001">
            <w:pPr>
              <w:pStyle w:val="ListParagraph"/>
              <w:numPr>
                <w:ilvl w:val="0"/>
                <w:numId w:val="12"/>
              </w:numPr>
              <w:rPr>
                <w:rFonts w:ascii="Arial" w:hAnsi="Arial" w:cs="Arial"/>
                <w:color w:val="000000" w:themeColor="text1"/>
                <w:sz w:val="20"/>
                <w:szCs w:val="20"/>
              </w:rPr>
            </w:pPr>
            <w:hyperlink r:id="rId18" w:history="1">
              <w:r w:rsidR="001B45A1" w:rsidRPr="00211001">
                <w:rPr>
                  <w:rStyle w:val="Hyperlink"/>
                  <w:rFonts w:ascii="Arial" w:hAnsi="Arial" w:cs="Arial"/>
                  <w:i/>
                  <w:iCs/>
                  <w:color w:val="000000" w:themeColor="text1"/>
                  <w:sz w:val="20"/>
                  <w:szCs w:val="20"/>
                </w:rPr>
                <w:t>School Education Act 1999</w:t>
              </w:r>
            </w:hyperlink>
            <w:r w:rsidR="001B45A1" w:rsidRPr="00211001">
              <w:rPr>
                <w:rFonts w:ascii="Arial" w:hAnsi="Arial" w:cs="Arial"/>
                <w:i/>
                <w:iCs/>
                <w:color w:val="000000" w:themeColor="text1"/>
                <w:sz w:val="20"/>
                <w:szCs w:val="20"/>
                <w:u w:val="single"/>
              </w:rPr>
              <w:t xml:space="preserve"> </w:t>
            </w:r>
          </w:p>
          <w:p w:rsidR="001B45A1" w:rsidRPr="00211001" w:rsidRDefault="001B45A1">
            <w:pPr>
              <w:rPr>
                <w:rFonts w:ascii="Arial" w:hAnsi="Arial" w:cs="Arial"/>
                <w:color w:val="000000" w:themeColor="text1"/>
                <w:sz w:val="20"/>
                <w:szCs w:val="20"/>
              </w:rPr>
            </w:pPr>
          </w:p>
        </w:tc>
      </w:tr>
      <w:tr w:rsidR="001B45A1" w:rsidTr="005570B4">
        <w:tc>
          <w:tcPr>
            <w:tcW w:w="1384" w:type="dxa"/>
          </w:tcPr>
          <w:p w:rsidR="001B45A1" w:rsidRPr="004C4D29" w:rsidRDefault="001B45A1" w:rsidP="00F57415">
            <w:pPr>
              <w:jc w:val="center"/>
              <w:rPr>
                <w:rFonts w:ascii="Arial" w:hAnsi="Arial" w:cs="Arial"/>
                <w:b/>
                <w:sz w:val="20"/>
                <w:szCs w:val="20"/>
              </w:rPr>
            </w:pPr>
            <w:r w:rsidRPr="004C4D29">
              <w:rPr>
                <w:rFonts w:ascii="Arial" w:hAnsi="Arial" w:cs="Arial"/>
                <w:b/>
                <w:sz w:val="20"/>
                <w:szCs w:val="20"/>
              </w:rPr>
              <w:lastRenderedPageBreak/>
              <w:t>NZ</w:t>
            </w:r>
          </w:p>
        </w:tc>
        <w:tc>
          <w:tcPr>
            <w:tcW w:w="3544" w:type="dxa"/>
          </w:tcPr>
          <w:p w:rsidR="001B45A1" w:rsidRPr="00F57415" w:rsidRDefault="00663F32">
            <w:pPr>
              <w:rPr>
                <w:rFonts w:ascii="Arial" w:hAnsi="Arial" w:cs="Arial"/>
                <w:sz w:val="20"/>
                <w:szCs w:val="20"/>
              </w:rPr>
            </w:pPr>
            <w:r w:rsidRPr="00663F32">
              <w:rPr>
                <w:rFonts w:ascii="Arial" w:hAnsi="Arial" w:cs="Arial"/>
                <w:sz w:val="20"/>
                <w:szCs w:val="20"/>
              </w:rPr>
              <w:t>Youth Justice Provisions of the Children, Yo</w:t>
            </w:r>
            <w:r>
              <w:rPr>
                <w:rFonts w:ascii="Arial" w:hAnsi="Arial" w:cs="Arial"/>
                <w:sz w:val="20"/>
                <w:szCs w:val="20"/>
              </w:rPr>
              <w:t>ung Persons and their Families A</w:t>
            </w:r>
            <w:r w:rsidRPr="00663F32">
              <w:rPr>
                <w:rFonts w:ascii="Arial" w:hAnsi="Arial" w:cs="Arial"/>
                <w:sz w:val="20"/>
                <w:szCs w:val="20"/>
              </w:rPr>
              <w:t>ct 1989</w:t>
            </w:r>
          </w:p>
        </w:tc>
        <w:tc>
          <w:tcPr>
            <w:tcW w:w="4252" w:type="dxa"/>
          </w:tcPr>
          <w:p w:rsidR="001B45A1" w:rsidRPr="00F57415" w:rsidRDefault="009B12B8">
            <w:pPr>
              <w:rPr>
                <w:rFonts w:ascii="Arial" w:hAnsi="Arial" w:cs="Arial"/>
                <w:sz w:val="20"/>
                <w:szCs w:val="20"/>
              </w:rPr>
            </w:pPr>
            <w:bookmarkStart w:id="0" w:name="_GoBack"/>
            <w:bookmarkEnd w:id="0"/>
            <w:r w:rsidRPr="009B12B8">
              <w:rPr>
                <w:rFonts w:ascii="Arial" w:hAnsi="Arial" w:cs="Arial"/>
                <w:sz w:val="20"/>
                <w:szCs w:val="20"/>
              </w:rPr>
              <w:t>Children, Young Persons and their Families (Residential Care) regulations.</w:t>
            </w:r>
          </w:p>
        </w:tc>
        <w:tc>
          <w:tcPr>
            <w:tcW w:w="4994" w:type="dxa"/>
          </w:tcPr>
          <w:p w:rsidR="001B45A1" w:rsidRPr="00F57415" w:rsidRDefault="001B45A1">
            <w:pPr>
              <w:rPr>
                <w:rFonts w:ascii="Arial" w:hAnsi="Arial" w:cs="Arial"/>
                <w:sz w:val="20"/>
                <w:szCs w:val="20"/>
              </w:rPr>
            </w:pPr>
          </w:p>
        </w:tc>
      </w:tr>
    </w:tbl>
    <w:p w:rsidR="00211001" w:rsidRDefault="00211001" w:rsidP="00211001">
      <w:pPr>
        <w:spacing w:after="0" w:line="240" w:lineRule="auto"/>
        <w:rPr>
          <w:rFonts w:ascii="Arial" w:hAnsi="Arial" w:cs="Arial"/>
          <w:b/>
          <w:color w:val="000000" w:themeColor="text1"/>
          <w:sz w:val="20"/>
          <w:szCs w:val="20"/>
        </w:rPr>
      </w:pPr>
    </w:p>
    <w:p w:rsidR="00F540F6" w:rsidRPr="00211001" w:rsidRDefault="00F540F6" w:rsidP="00211001">
      <w:pPr>
        <w:spacing w:after="0" w:line="240" w:lineRule="auto"/>
        <w:rPr>
          <w:rFonts w:ascii="Arial" w:hAnsi="Arial" w:cs="Arial"/>
          <w:b/>
          <w:color w:val="000000" w:themeColor="text1"/>
          <w:sz w:val="20"/>
          <w:szCs w:val="20"/>
        </w:rPr>
      </w:pPr>
      <w:r w:rsidRPr="00211001">
        <w:rPr>
          <w:rFonts w:ascii="Arial" w:hAnsi="Arial" w:cs="Arial"/>
          <w:b/>
          <w:color w:val="000000" w:themeColor="text1"/>
          <w:sz w:val="20"/>
          <w:szCs w:val="20"/>
        </w:rPr>
        <w:t>NOTES:</w:t>
      </w:r>
    </w:p>
    <w:p w:rsidR="0039727F" w:rsidRPr="00211001" w:rsidRDefault="0039727F" w:rsidP="00211001">
      <w:pPr>
        <w:spacing w:after="0" w:line="240" w:lineRule="auto"/>
        <w:rPr>
          <w:rFonts w:ascii="Arial" w:hAnsi="Arial" w:cs="Arial"/>
          <w:b/>
          <w:color w:val="000000" w:themeColor="text1"/>
          <w:sz w:val="20"/>
          <w:szCs w:val="20"/>
          <w:u w:val="single"/>
        </w:rPr>
      </w:pPr>
    </w:p>
    <w:p w:rsidR="00211001" w:rsidRPr="00211001" w:rsidRDefault="00211001" w:rsidP="00211001">
      <w:pPr>
        <w:spacing w:after="0" w:line="240" w:lineRule="auto"/>
        <w:jc w:val="both"/>
        <w:rPr>
          <w:rFonts w:ascii="Arial" w:hAnsi="Arial" w:cs="Arial"/>
          <w:b/>
          <w:color w:val="000000" w:themeColor="text1"/>
          <w:sz w:val="20"/>
          <w:szCs w:val="20"/>
          <w:u w:val="single"/>
        </w:rPr>
      </w:pPr>
      <w:r w:rsidRPr="00211001">
        <w:rPr>
          <w:rFonts w:ascii="Arial" w:hAnsi="Arial" w:cs="Arial"/>
          <w:b/>
          <w:color w:val="000000" w:themeColor="text1"/>
          <w:sz w:val="20"/>
          <w:szCs w:val="20"/>
          <w:u w:val="single"/>
        </w:rPr>
        <w:t>Western Australia</w:t>
      </w:r>
    </w:p>
    <w:p w:rsidR="00211001" w:rsidRPr="00211001" w:rsidRDefault="00211001" w:rsidP="00211001">
      <w:pPr>
        <w:spacing w:after="0" w:line="240" w:lineRule="auto"/>
        <w:jc w:val="both"/>
        <w:rPr>
          <w:rFonts w:ascii="Arial" w:hAnsi="Arial" w:cs="Arial"/>
          <w:color w:val="000000" w:themeColor="text1"/>
          <w:sz w:val="20"/>
          <w:szCs w:val="20"/>
        </w:rPr>
      </w:pPr>
      <w:r w:rsidRPr="00211001">
        <w:rPr>
          <w:rFonts w:ascii="Arial" w:hAnsi="Arial" w:cs="Arial"/>
          <w:color w:val="000000" w:themeColor="text1"/>
          <w:sz w:val="20"/>
          <w:szCs w:val="20"/>
        </w:rPr>
        <w:t xml:space="preserve">According to the </w:t>
      </w:r>
      <w:hyperlink r:id="rId19" w:history="1">
        <w:r w:rsidRPr="00211001">
          <w:rPr>
            <w:rStyle w:val="Hyperlink"/>
            <w:rFonts w:ascii="Arial" w:hAnsi="Arial" w:cs="Arial"/>
            <w:color w:val="000000" w:themeColor="text1"/>
            <w:sz w:val="20"/>
            <w:szCs w:val="20"/>
          </w:rPr>
          <w:t>Western Australia Police</w:t>
        </w:r>
      </w:hyperlink>
      <w:r w:rsidRPr="00211001">
        <w:rPr>
          <w:rFonts w:ascii="Arial" w:hAnsi="Arial" w:cs="Arial"/>
          <w:color w:val="000000" w:themeColor="text1"/>
          <w:sz w:val="20"/>
          <w:szCs w:val="20"/>
        </w:rPr>
        <w:t xml:space="preserve"> service and the </w:t>
      </w:r>
      <w:hyperlink r:id="rId20" w:history="1">
        <w:r w:rsidRPr="00211001">
          <w:rPr>
            <w:rStyle w:val="Hyperlink"/>
            <w:rFonts w:ascii="Arial" w:hAnsi="Arial" w:cs="Arial"/>
            <w:i/>
            <w:iCs/>
            <w:color w:val="000000" w:themeColor="text1"/>
            <w:sz w:val="20"/>
            <w:szCs w:val="20"/>
          </w:rPr>
          <w:t>Criminal Code Act Compilation Act 1913</w:t>
        </w:r>
      </w:hyperlink>
      <w:r w:rsidRPr="00211001">
        <w:rPr>
          <w:rFonts w:ascii="Arial" w:hAnsi="Arial" w:cs="Arial"/>
          <w:color w:val="000000" w:themeColor="text1"/>
          <w:sz w:val="20"/>
          <w:szCs w:val="20"/>
        </w:rPr>
        <w:t xml:space="preserve"> the definition of “assault” falls under various categories and is defined as:</w:t>
      </w:r>
    </w:p>
    <w:p w:rsidR="00211001" w:rsidRDefault="00211001" w:rsidP="00211001">
      <w:pPr>
        <w:spacing w:after="0" w:line="240" w:lineRule="auto"/>
        <w:jc w:val="both"/>
        <w:rPr>
          <w:rFonts w:ascii="Arial" w:hAnsi="Arial" w:cs="Arial"/>
          <w:b/>
          <w:bCs/>
          <w:color w:val="000000" w:themeColor="text1"/>
          <w:sz w:val="20"/>
          <w:szCs w:val="20"/>
        </w:rPr>
      </w:pPr>
    </w:p>
    <w:p w:rsidR="00211001" w:rsidRPr="00211001" w:rsidRDefault="00211001" w:rsidP="00211001">
      <w:pPr>
        <w:spacing w:after="0" w:line="240" w:lineRule="auto"/>
        <w:jc w:val="both"/>
        <w:rPr>
          <w:rFonts w:ascii="Arial" w:hAnsi="Arial" w:cs="Arial"/>
          <w:b/>
          <w:bCs/>
          <w:color w:val="000000" w:themeColor="text1"/>
          <w:sz w:val="20"/>
          <w:szCs w:val="20"/>
        </w:rPr>
      </w:pPr>
      <w:r w:rsidRPr="00211001">
        <w:rPr>
          <w:rFonts w:ascii="Arial" w:hAnsi="Arial" w:cs="Arial"/>
          <w:b/>
          <w:bCs/>
          <w:color w:val="000000" w:themeColor="text1"/>
          <w:sz w:val="20"/>
          <w:szCs w:val="20"/>
        </w:rPr>
        <w:t xml:space="preserve">Non-Aggravated Assault </w:t>
      </w:r>
    </w:p>
    <w:p w:rsidR="00211001" w:rsidRPr="00211001" w:rsidRDefault="00211001" w:rsidP="00211001">
      <w:pPr>
        <w:spacing w:after="0" w:line="240" w:lineRule="auto"/>
        <w:jc w:val="both"/>
        <w:rPr>
          <w:rFonts w:ascii="Arial" w:hAnsi="Arial" w:cs="Arial"/>
          <w:color w:val="000000" w:themeColor="text1"/>
          <w:sz w:val="20"/>
          <w:szCs w:val="20"/>
        </w:rPr>
      </w:pPr>
      <w:proofErr w:type="gramStart"/>
      <w:r w:rsidRPr="00211001">
        <w:rPr>
          <w:rFonts w:ascii="Arial" w:hAnsi="Arial" w:cs="Arial"/>
          <w:color w:val="000000" w:themeColor="text1"/>
          <w:sz w:val="20"/>
          <w:szCs w:val="20"/>
        </w:rPr>
        <w:t>Defined under section 313 of the Criminal Code Act Compilation Act 1913 as an assault not involving any of the aggravating circumstances as defined in Aggravated Assault.</w:t>
      </w:r>
      <w:proofErr w:type="gramEnd"/>
      <w:r w:rsidRPr="00211001">
        <w:rPr>
          <w:rFonts w:ascii="Arial" w:hAnsi="Arial" w:cs="Arial"/>
          <w:color w:val="000000" w:themeColor="text1"/>
          <w:sz w:val="20"/>
          <w:szCs w:val="20"/>
        </w:rPr>
        <w:t xml:space="preserve"> This category of offence also includes acts involving the indirect and non-confrontational infliction of harm, injury or violence upon a person such as administering drugs/poison or stupefying. For reporting purposes, non-aggravated assault incorporates assault (including a relatively small number of aggravated assaults) committed against </w:t>
      </w:r>
      <w:proofErr w:type="gramStart"/>
      <w:r w:rsidRPr="00211001">
        <w:rPr>
          <w:rFonts w:ascii="Arial" w:hAnsi="Arial" w:cs="Arial"/>
          <w:color w:val="000000" w:themeColor="text1"/>
          <w:sz w:val="20"/>
          <w:szCs w:val="20"/>
        </w:rPr>
        <w:t>a WA</w:t>
      </w:r>
      <w:proofErr w:type="gramEnd"/>
      <w:r w:rsidRPr="00211001">
        <w:rPr>
          <w:rFonts w:ascii="Arial" w:hAnsi="Arial" w:cs="Arial"/>
          <w:color w:val="000000" w:themeColor="text1"/>
          <w:sz w:val="20"/>
          <w:szCs w:val="20"/>
        </w:rPr>
        <w:t xml:space="preserve"> Police Officer acting in the execution of their duty.</w:t>
      </w:r>
    </w:p>
    <w:p w:rsidR="00211001" w:rsidRDefault="00211001" w:rsidP="00211001">
      <w:pPr>
        <w:spacing w:after="0" w:line="240" w:lineRule="auto"/>
        <w:jc w:val="both"/>
        <w:rPr>
          <w:rFonts w:ascii="Arial" w:hAnsi="Arial" w:cs="Arial"/>
          <w:b/>
          <w:bCs/>
          <w:color w:val="000000" w:themeColor="text1"/>
          <w:sz w:val="20"/>
          <w:szCs w:val="20"/>
        </w:rPr>
      </w:pPr>
    </w:p>
    <w:p w:rsidR="00211001" w:rsidRPr="00211001" w:rsidRDefault="00211001" w:rsidP="00211001">
      <w:pPr>
        <w:spacing w:after="0" w:line="240" w:lineRule="auto"/>
        <w:jc w:val="both"/>
        <w:rPr>
          <w:rFonts w:ascii="Arial" w:hAnsi="Arial" w:cs="Arial"/>
          <w:b/>
          <w:bCs/>
          <w:color w:val="000000" w:themeColor="text1"/>
          <w:sz w:val="20"/>
          <w:szCs w:val="20"/>
        </w:rPr>
      </w:pPr>
      <w:r w:rsidRPr="00211001">
        <w:rPr>
          <w:rFonts w:ascii="Arial" w:hAnsi="Arial" w:cs="Arial"/>
          <w:b/>
          <w:bCs/>
          <w:color w:val="000000" w:themeColor="text1"/>
          <w:sz w:val="20"/>
          <w:szCs w:val="20"/>
        </w:rPr>
        <w:t>Assault with Intent (Aggravated Assault)</w:t>
      </w:r>
    </w:p>
    <w:p w:rsidR="00211001" w:rsidRPr="00211001" w:rsidRDefault="00211001" w:rsidP="00211001">
      <w:pPr>
        <w:spacing w:after="0" w:line="240" w:lineRule="auto"/>
        <w:jc w:val="both"/>
        <w:rPr>
          <w:rFonts w:ascii="Arial" w:hAnsi="Arial" w:cs="Arial"/>
          <w:color w:val="000000" w:themeColor="text1"/>
          <w:sz w:val="20"/>
          <w:szCs w:val="20"/>
        </w:rPr>
      </w:pPr>
      <w:r w:rsidRPr="00211001">
        <w:rPr>
          <w:rFonts w:ascii="Arial" w:hAnsi="Arial" w:cs="Arial"/>
          <w:color w:val="000000" w:themeColor="text1"/>
          <w:sz w:val="20"/>
          <w:szCs w:val="20"/>
        </w:rPr>
        <w:t>Defined under section 317A of the Criminal Code Act Compilation Act 1913 as an assault that has direct (and immediate/confrontational) infliction of force, injury or violence upon a person or persons or the direct (and immediate/confrontational) threat of force, injury or violence where there is an apprehension that the threat could be enacted. An Aggravated Assault as recorded by the WA Police is an assault that involves the aggravating circumstances of causing serious bodily injury. The Australian Standard Offence Classification also includes the following circumstances of aggravation:</w:t>
      </w:r>
    </w:p>
    <w:p w:rsidR="00211001" w:rsidRPr="00211001" w:rsidRDefault="00211001" w:rsidP="00211001">
      <w:pPr>
        <w:pStyle w:val="ListParagraph"/>
        <w:numPr>
          <w:ilvl w:val="0"/>
          <w:numId w:val="10"/>
        </w:numPr>
        <w:spacing w:after="0" w:line="240" w:lineRule="auto"/>
        <w:contextualSpacing w:val="0"/>
        <w:jc w:val="both"/>
        <w:rPr>
          <w:rFonts w:ascii="Arial" w:hAnsi="Arial" w:cs="Arial"/>
          <w:color w:val="000000" w:themeColor="text1"/>
          <w:sz w:val="20"/>
          <w:szCs w:val="20"/>
        </w:rPr>
      </w:pPr>
      <w:r w:rsidRPr="00211001">
        <w:rPr>
          <w:rFonts w:ascii="Arial" w:hAnsi="Arial" w:cs="Arial"/>
          <w:color w:val="000000" w:themeColor="text1"/>
          <w:sz w:val="20"/>
          <w:szCs w:val="20"/>
        </w:rPr>
        <w:t xml:space="preserve">carried out in company; </w:t>
      </w:r>
    </w:p>
    <w:p w:rsidR="00211001" w:rsidRPr="00211001" w:rsidRDefault="00211001" w:rsidP="00211001">
      <w:pPr>
        <w:pStyle w:val="ListParagraph"/>
        <w:numPr>
          <w:ilvl w:val="0"/>
          <w:numId w:val="10"/>
        </w:numPr>
        <w:spacing w:after="0" w:line="240" w:lineRule="auto"/>
        <w:contextualSpacing w:val="0"/>
        <w:jc w:val="both"/>
        <w:rPr>
          <w:rFonts w:ascii="Arial" w:hAnsi="Arial" w:cs="Arial"/>
          <w:color w:val="000000" w:themeColor="text1"/>
          <w:sz w:val="20"/>
          <w:szCs w:val="20"/>
        </w:rPr>
      </w:pPr>
      <w:r w:rsidRPr="00211001">
        <w:rPr>
          <w:rFonts w:ascii="Arial" w:hAnsi="Arial" w:cs="Arial"/>
          <w:color w:val="000000" w:themeColor="text1"/>
          <w:sz w:val="20"/>
          <w:szCs w:val="20"/>
        </w:rPr>
        <w:t xml:space="preserve">carried out using a weapon; </w:t>
      </w:r>
    </w:p>
    <w:p w:rsidR="00211001" w:rsidRPr="00211001" w:rsidRDefault="00211001" w:rsidP="00211001">
      <w:pPr>
        <w:pStyle w:val="ListParagraph"/>
        <w:numPr>
          <w:ilvl w:val="0"/>
          <w:numId w:val="10"/>
        </w:numPr>
        <w:spacing w:after="0" w:line="240" w:lineRule="auto"/>
        <w:contextualSpacing w:val="0"/>
        <w:jc w:val="both"/>
        <w:rPr>
          <w:rFonts w:ascii="Arial" w:hAnsi="Arial" w:cs="Arial"/>
          <w:color w:val="000000" w:themeColor="text1"/>
          <w:sz w:val="20"/>
          <w:szCs w:val="20"/>
        </w:rPr>
      </w:pPr>
      <w:r w:rsidRPr="00211001">
        <w:rPr>
          <w:rFonts w:ascii="Arial" w:hAnsi="Arial" w:cs="Arial"/>
          <w:color w:val="000000" w:themeColor="text1"/>
          <w:sz w:val="20"/>
          <w:szCs w:val="20"/>
        </w:rPr>
        <w:t xml:space="preserve">carried out with the intent of preventing apprehension or committing a crime; or </w:t>
      </w:r>
    </w:p>
    <w:p w:rsidR="00211001" w:rsidRPr="00211001" w:rsidRDefault="00211001" w:rsidP="00211001">
      <w:pPr>
        <w:pStyle w:val="ListParagraph"/>
        <w:numPr>
          <w:ilvl w:val="0"/>
          <w:numId w:val="10"/>
        </w:numPr>
        <w:spacing w:after="0" w:line="240" w:lineRule="auto"/>
        <w:contextualSpacing w:val="0"/>
        <w:jc w:val="both"/>
        <w:rPr>
          <w:rFonts w:ascii="Arial" w:hAnsi="Arial" w:cs="Arial"/>
          <w:color w:val="000000" w:themeColor="text1"/>
          <w:sz w:val="20"/>
          <w:szCs w:val="20"/>
        </w:rPr>
      </w:pPr>
      <w:proofErr w:type="gramStart"/>
      <w:r w:rsidRPr="00211001">
        <w:rPr>
          <w:rFonts w:ascii="Arial" w:hAnsi="Arial" w:cs="Arial"/>
          <w:color w:val="000000" w:themeColor="text1"/>
          <w:sz w:val="20"/>
          <w:szCs w:val="20"/>
        </w:rPr>
        <w:t>committed</w:t>
      </w:r>
      <w:proofErr w:type="gramEnd"/>
      <w:r w:rsidRPr="00211001">
        <w:rPr>
          <w:rFonts w:ascii="Arial" w:hAnsi="Arial" w:cs="Arial"/>
          <w:color w:val="000000" w:themeColor="text1"/>
          <w:sz w:val="20"/>
          <w:szCs w:val="20"/>
        </w:rPr>
        <w:t xml:space="preserve"> with the intent to recklessly endanger life or cause injury.</w:t>
      </w:r>
    </w:p>
    <w:p w:rsidR="00211001" w:rsidRPr="00211001" w:rsidRDefault="00211001" w:rsidP="00211001">
      <w:pPr>
        <w:spacing w:after="0" w:line="240" w:lineRule="auto"/>
        <w:jc w:val="both"/>
        <w:rPr>
          <w:rFonts w:ascii="Arial" w:hAnsi="Arial" w:cs="Arial"/>
          <w:color w:val="000000" w:themeColor="text1"/>
          <w:sz w:val="20"/>
          <w:szCs w:val="20"/>
        </w:rPr>
      </w:pPr>
    </w:p>
    <w:p w:rsidR="00211001" w:rsidRPr="00211001" w:rsidRDefault="00211001" w:rsidP="00211001">
      <w:pPr>
        <w:spacing w:after="0" w:line="240" w:lineRule="auto"/>
        <w:jc w:val="both"/>
        <w:rPr>
          <w:rFonts w:ascii="Arial" w:hAnsi="Arial" w:cs="Arial"/>
          <w:b/>
          <w:bCs/>
          <w:color w:val="000000" w:themeColor="text1"/>
          <w:sz w:val="20"/>
          <w:szCs w:val="20"/>
        </w:rPr>
      </w:pPr>
      <w:r w:rsidRPr="00211001">
        <w:rPr>
          <w:rFonts w:ascii="Arial" w:hAnsi="Arial" w:cs="Arial"/>
          <w:b/>
          <w:bCs/>
          <w:color w:val="000000" w:themeColor="text1"/>
          <w:sz w:val="20"/>
          <w:szCs w:val="20"/>
        </w:rPr>
        <w:t>Internal YJS Policy</w:t>
      </w:r>
    </w:p>
    <w:p w:rsidR="00211001" w:rsidRPr="00211001" w:rsidRDefault="00211001" w:rsidP="00211001">
      <w:pPr>
        <w:spacing w:after="0" w:line="240" w:lineRule="auto"/>
        <w:jc w:val="both"/>
        <w:rPr>
          <w:rFonts w:ascii="Arial" w:hAnsi="Arial" w:cs="Arial"/>
          <w:color w:val="000000" w:themeColor="text1"/>
          <w:sz w:val="20"/>
          <w:szCs w:val="20"/>
        </w:rPr>
      </w:pPr>
      <w:r w:rsidRPr="00211001">
        <w:rPr>
          <w:rFonts w:ascii="Arial" w:hAnsi="Arial" w:cs="Arial"/>
          <w:color w:val="000000" w:themeColor="text1"/>
          <w:sz w:val="20"/>
          <w:szCs w:val="20"/>
        </w:rPr>
        <w:t>An assault according to the Internal Incident and Critical and Incident Policy within a Youth Justice Service’s community or custodial facility relates to an assault on:</w:t>
      </w:r>
    </w:p>
    <w:p w:rsidR="00211001" w:rsidRPr="00211001" w:rsidRDefault="00211001" w:rsidP="00211001">
      <w:pPr>
        <w:pStyle w:val="ListParagraph"/>
        <w:numPr>
          <w:ilvl w:val="0"/>
          <w:numId w:val="13"/>
        </w:numPr>
        <w:spacing w:after="0" w:line="240" w:lineRule="auto"/>
        <w:jc w:val="both"/>
        <w:rPr>
          <w:rFonts w:ascii="Arial" w:hAnsi="Arial" w:cs="Arial"/>
          <w:color w:val="000000" w:themeColor="text1"/>
          <w:sz w:val="20"/>
          <w:szCs w:val="20"/>
        </w:rPr>
      </w:pPr>
      <w:r w:rsidRPr="00211001">
        <w:rPr>
          <w:rFonts w:ascii="Arial" w:hAnsi="Arial" w:cs="Arial"/>
          <w:color w:val="000000" w:themeColor="text1"/>
          <w:sz w:val="20"/>
          <w:szCs w:val="20"/>
        </w:rPr>
        <w:t>a member of staff, contractor, volunteer or visitor and/or</w:t>
      </w:r>
    </w:p>
    <w:p w:rsidR="00211001" w:rsidRPr="00211001" w:rsidRDefault="00211001" w:rsidP="00211001">
      <w:pPr>
        <w:pStyle w:val="ListParagraph"/>
        <w:numPr>
          <w:ilvl w:val="0"/>
          <w:numId w:val="13"/>
        </w:numPr>
        <w:spacing w:after="0" w:line="240" w:lineRule="auto"/>
        <w:jc w:val="both"/>
        <w:rPr>
          <w:rFonts w:ascii="Arial" w:hAnsi="Arial" w:cs="Arial"/>
          <w:color w:val="000000" w:themeColor="text1"/>
          <w:sz w:val="20"/>
          <w:szCs w:val="20"/>
        </w:rPr>
      </w:pPr>
      <w:proofErr w:type="gramStart"/>
      <w:r w:rsidRPr="00211001">
        <w:rPr>
          <w:rFonts w:ascii="Arial" w:hAnsi="Arial" w:cs="Arial"/>
          <w:color w:val="000000" w:themeColor="text1"/>
          <w:sz w:val="20"/>
          <w:szCs w:val="20"/>
        </w:rPr>
        <w:t>a</w:t>
      </w:r>
      <w:proofErr w:type="gramEnd"/>
      <w:r w:rsidRPr="00211001">
        <w:rPr>
          <w:rFonts w:ascii="Arial" w:hAnsi="Arial" w:cs="Arial"/>
          <w:color w:val="000000" w:themeColor="text1"/>
          <w:sz w:val="20"/>
          <w:szCs w:val="20"/>
        </w:rPr>
        <w:t xml:space="preserve"> young person.</w:t>
      </w:r>
    </w:p>
    <w:p w:rsidR="00211001" w:rsidRPr="00211001" w:rsidRDefault="00211001" w:rsidP="00211001">
      <w:pPr>
        <w:spacing w:after="0" w:line="240" w:lineRule="auto"/>
        <w:jc w:val="both"/>
        <w:rPr>
          <w:rFonts w:ascii="Arial" w:hAnsi="Arial" w:cs="Arial"/>
          <w:color w:val="000000" w:themeColor="text1"/>
          <w:sz w:val="20"/>
          <w:szCs w:val="20"/>
        </w:rPr>
      </w:pPr>
    </w:p>
    <w:p w:rsidR="00211001" w:rsidRPr="00211001" w:rsidRDefault="00211001" w:rsidP="00211001">
      <w:pPr>
        <w:spacing w:after="0" w:line="240" w:lineRule="auto"/>
        <w:jc w:val="both"/>
        <w:rPr>
          <w:rFonts w:ascii="Arial" w:hAnsi="Arial" w:cs="Arial"/>
          <w:color w:val="000000" w:themeColor="text1"/>
          <w:sz w:val="20"/>
          <w:szCs w:val="20"/>
        </w:rPr>
      </w:pPr>
      <w:r w:rsidRPr="00211001">
        <w:rPr>
          <w:rFonts w:ascii="Arial" w:hAnsi="Arial" w:cs="Arial"/>
          <w:color w:val="000000" w:themeColor="text1"/>
          <w:sz w:val="20"/>
          <w:szCs w:val="20"/>
        </w:rPr>
        <w:lastRenderedPageBreak/>
        <w:t>An assault includes where the victim is subject to physical violence that resulted in physical injuries that may or may not have required medical treatment, but did not require overnight hospitalisation or ongoing medical treatment.</w:t>
      </w:r>
    </w:p>
    <w:p w:rsidR="00211001" w:rsidRPr="00211001" w:rsidRDefault="00211001" w:rsidP="00211001">
      <w:pPr>
        <w:spacing w:after="0" w:line="240" w:lineRule="auto"/>
        <w:jc w:val="both"/>
        <w:rPr>
          <w:rFonts w:ascii="Arial" w:hAnsi="Arial" w:cs="Arial"/>
          <w:color w:val="000000" w:themeColor="text1"/>
          <w:sz w:val="20"/>
          <w:szCs w:val="20"/>
        </w:rPr>
      </w:pPr>
    </w:p>
    <w:p w:rsidR="00211001" w:rsidRPr="00211001" w:rsidRDefault="00211001" w:rsidP="00211001">
      <w:pPr>
        <w:spacing w:after="0" w:line="240" w:lineRule="auto"/>
        <w:jc w:val="both"/>
        <w:rPr>
          <w:rFonts w:ascii="Arial" w:hAnsi="Arial" w:cs="Arial"/>
          <w:color w:val="000000" w:themeColor="text1"/>
          <w:sz w:val="20"/>
          <w:szCs w:val="20"/>
        </w:rPr>
      </w:pPr>
      <w:r w:rsidRPr="00211001">
        <w:rPr>
          <w:rFonts w:ascii="Arial" w:hAnsi="Arial" w:cs="Arial"/>
          <w:color w:val="000000" w:themeColor="text1"/>
          <w:sz w:val="20"/>
          <w:szCs w:val="20"/>
        </w:rPr>
        <w:t>Serious Assaults include where the victim is subjected to physical violence that resulted in physical injuries requiring medical treatment involving overnight hospitalisation in a medical facility including a custodial facility heath centre or hospital, or ongoing medical treatment. Serious assaults include all sexual assaults.</w:t>
      </w:r>
    </w:p>
    <w:p w:rsidR="00211001" w:rsidRPr="00211001" w:rsidRDefault="00211001" w:rsidP="00211001">
      <w:pPr>
        <w:spacing w:after="0" w:line="240" w:lineRule="auto"/>
        <w:jc w:val="both"/>
        <w:rPr>
          <w:rFonts w:ascii="Arial" w:hAnsi="Arial" w:cs="Arial"/>
          <w:color w:val="000000" w:themeColor="text1"/>
          <w:sz w:val="20"/>
          <w:szCs w:val="20"/>
        </w:rPr>
      </w:pPr>
    </w:p>
    <w:p w:rsidR="00211001" w:rsidRPr="00211001" w:rsidRDefault="00211001" w:rsidP="00211001">
      <w:pPr>
        <w:spacing w:after="0" w:line="240" w:lineRule="auto"/>
        <w:jc w:val="both"/>
        <w:rPr>
          <w:rFonts w:ascii="Arial" w:hAnsi="Arial" w:cs="Arial"/>
          <w:color w:val="000000" w:themeColor="text1"/>
          <w:sz w:val="20"/>
          <w:szCs w:val="20"/>
        </w:rPr>
      </w:pPr>
      <w:r w:rsidRPr="00211001">
        <w:rPr>
          <w:rFonts w:ascii="Arial" w:hAnsi="Arial" w:cs="Arial"/>
          <w:color w:val="000000" w:themeColor="text1"/>
          <w:sz w:val="20"/>
          <w:szCs w:val="20"/>
        </w:rPr>
        <w:t>Note: If the condition of a young person in custody is later determined as requiring overnight hospitalisation after initially being assessed as non-critical, the incident is to be escalated to Critical and reported in accordance with the Critical Incident Policy – Youth Justice Services immediately the determination has been made.</w:t>
      </w:r>
    </w:p>
    <w:p w:rsidR="00211001" w:rsidRPr="00211001" w:rsidRDefault="00211001" w:rsidP="00211001">
      <w:pPr>
        <w:spacing w:after="0" w:line="240" w:lineRule="auto"/>
        <w:jc w:val="both"/>
        <w:rPr>
          <w:rFonts w:ascii="Arial" w:hAnsi="Arial" w:cs="Arial"/>
          <w:color w:val="000000" w:themeColor="text1"/>
          <w:sz w:val="20"/>
          <w:szCs w:val="20"/>
        </w:rPr>
      </w:pPr>
    </w:p>
    <w:p w:rsidR="00211001" w:rsidRPr="00211001" w:rsidRDefault="00211001" w:rsidP="00211001">
      <w:pPr>
        <w:spacing w:after="0" w:line="240" w:lineRule="auto"/>
        <w:jc w:val="both"/>
        <w:rPr>
          <w:rFonts w:ascii="Arial" w:hAnsi="Arial" w:cs="Arial"/>
          <w:color w:val="000000" w:themeColor="text1"/>
          <w:sz w:val="20"/>
          <w:szCs w:val="20"/>
        </w:rPr>
      </w:pPr>
      <w:r w:rsidRPr="00211001">
        <w:rPr>
          <w:rFonts w:ascii="Arial" w:hAnsi="Arial" w:cs="Arial"/>
          <w:color w:val="000000" w:themeColor="text1"/>
          <w:sz w:val="20"/>
          <w:szCs w:val="20"/>
        </w:rPr>
        <w:t>Other assaults with no injury include where the victim is subjected to physical violence that does not result in physical injuries or require any form of medical treatment.</w:t>
      </w:r>
    </w:p>
    <w:p w:rsidR="00211001" w:rsidRDefault="00211001" w:rsidP="00211001">
      <w:pPr>
        <w:spacing w:after="0" w:line="240" w:lineRule="auto"/>
        <w:jc w:val="both"/>
        <w:rPr>
          <w:rFonts w:ascii="Arial" w:hAnsi="Arial" w:cs="Arial"/>
          <w:color w:val="000000" w:themeColor="text1"/>
          <w:sz w:val="20"/>
          <w:szCs w:val="20"/>
        </w:rPr>
      </w:pPr>
    </w:p>
    <w:p w:rsidR="00211001" w:rsidRPr="00211001" w:rsidRDefault="00211001" w:rsidP="00211001">
      <w:pPr>
        <w:spacing w:after="0" w:line="240" w:lineRule="auto"/>
        <w:jc w:val="both"/>
        <w:rPr>
          <w:rFonts w:ascii="Arial" w:hAnsi="Arial" w:cs="Arial"/>
          <w:color w:val="000000" w:themeColor="text1"/>
          <w:sz w:val="20"/>
          <w:szCs w:val="20"/>
        </w:rPr>
      </w:pPr>
      <w:r w:rsidRPr="00211001">
        <w:rPr>
          <w:rFonts w:ascii="Arial" w:hAnsi="Arial" w:cs="Arial"/>
          <w:color w:val="000000" w:themeColor="text1"/>
          <w:sz w:val="20"/>
          <w:szCs w:val="20"/>
        </w:rPr>
        <w:t>YJS must comply with the national Council of Australian Governments (COAG) definitions of assault and the Criminal Code Act Compilation Act 1913.</w:t>
      </w:r>
    </w:p>
    <w:p w:rsidR="00211001" w:rsidRDefault="00211001" w:rsidP="0039727F">
      <w:pPr>
        <w:spacing w:after="0" w:line="240" w:lineRule="auto"/>
        <w:rPr>
          <w:rFonts w:ascii="Arial" w:hAnsi="Arial" w:cs="Arial"/>
          <w:b/>
          <w:sz w:val="20"/>
          <w:szCs w:val="20"/>
          <w:u w:val="single"/>
        </w:rPr>
      </w:pPr>
    </w:p>
    <w:p w:rsidR="00F540F6" w:rsidRPr="0039727F" w:rsidRDefault="00F540F6" w:rsidP="0039727F">
      <w:pPr>
        <w:spacing w:after="0" w:line="240" w:lineRule="auto"/>
        <w:rPr>
          <w:rFonts w:ascii="Arial" w:hAnsi="Arial" w:cs="Arial"/>
          <w:b/>
          <w:sz w:val="20"/>
          <w:szCs w:val="20"/>
          <w:u w:val="single"/>
        </w:rPr>
      </w:pPr>
      <w:r w:rsidRPr="0039727F">
        <w:rPr>
          <w:rFonts w:ascii="Arial" w:hAnsi="Arial" w:cs="Arial"/>
          <w:b/>
          <w:sz w:val="20"/>
          <w:szCs w:val="20"/>
          <w:u w:val="single"/>
        </w:rPr>
        <w:t>South Australia</w:t>
      </w:r>
    </w:p>
    <w:p w:rsidR="00F540F6" w:rsidRPr="00F540F6" w:rsidRDefault="00F540F6" w:rsidP="0039727F">
      <w:pPr>
        <w:spacing w:after="0" w:line="240" w:lineRule="auto"/>
        <w:jc w:val="both"/>
        <w:rPr>
          <w:rFonts w:ascii="Arial" w:hAnsi="Arial" w:cs="Arial"/>
          <w:sz w:val="20"/>
          <w:szCs w:val="20"/>
        </w:rPr>
      </w:pPr>
      <w:r>
        <w:rPr>
          <w:rFonts w:ascii="Arial" w:hAnsi="Arial" w:cs="Arial"/>
          <w:sz w:val="20"/>
          <w:szCs w:val="20"/>
        </w:rPr>
        <w:t>In South Australia</w:t>
      </w:r>
      <w:r w:rsidRPr="00F540F6">
        <w:rPr>
          <w:rFonts w:ascii="Arial" w:hAnsi="Arial" w:cs="Arial"/>
          <w:sz w:val="20"/>
          <w:szCs w:val="20"/>
        </w:rPr>
        <w:t>, and I suspect in many other jurisdictions, the charge/conviction process for assault sits outside of pri</w:t>
      </w:r>
      <w:r>
        <w:rPr>
          <w:rFonts w:ascii="Arial" w:hAnsi="Arial" w:cs="Arial"/>
          <w:sz w:val="20"/>
          <w:szCs w:val="20"/>
        </w:rPr>
        <w:t>mary youth justice legislation.</w:t>
      </w:r>
    </w:p>
    <w:p w:rsidR="0039727F" w:rsidRDefault="0039727F" w:rsidP="0039727F">
      <w:pPr>
        <w:spacing w:after="0" w:line="240" w:lineRule="auto"/>
        <w:jc w:val="both"/>
        <w:rPr>
          <w:rFonts w:ascii="Arial" w:hAnsi="Arial" w:cs="Arial"/>
          <w:sz w:val="20"/>
          <w:szCs w:val="20"/>
        </w:rPr>
      </w:pPr>
    </w:p>
    <w:p w:rsidR="00F540F6" w:rsidRPr="00F540F6" w:rsidRDefault="00F540F6" w:rsidP="0039727F">
      <w:pPr>
        <w:spacing w:after="0" w:line="240" w:lineRule="auto"/>
        <w:jc w:val="both"/>
        <w:rPr>
          <w:rFonts w:ascii="Arial" w:hAnsi="Arial" w:cs="Arial"/>
          <w:sz w:val="20"/>
          <w:szCs w:val="20"/>
        </w:rPr>
      </w:pPr>
      <w:r w:rsidRPr="00F540F6">
        <w:rPr>
          <w:rFonts w:ascii="Arial" w:hAnsi="Arial" w:cs="Arial"/>
          <w:sz w:val="20"/>
          <w:szCs w:val="20"/>
        </w:rPr>
        <w:t>The Minister for Communities and Social Inclusion has introduced to Parliament the Youth Justice Administration Bill 2015, which will establish the powers relevant to the functions undertaken by Youth Justice (DCSI), particularly the administration of training centres and c</w:t>
      </w:r>
      <w:r>
        <w:rPr>
          <w:rFonts w:ascii="Arial" w:hAnsi="Arial" w:cs="Arial"/>
          <w:sz w:val="20"/>
          <w:szCs w:val="20"/>
        </w:rPr>
        <w:t xml:space="preserve">ommunity supervision services. </w:t>
      </w:r>
    </w:p>
    <w:p w:rsidR="0039727F" w:rsidRDefault="0039727F" w:rsidP="0039727F">
      <w:pPr>
        <w:spacing w:after="0" w:line="240" w:lineRule="auto"/>
        <w:jc w:val="both"/>
        <w:rPr>
          <w:rFonts w:ascii="Arial" w:hAnsi="Arial" w:cs="Arial"/>
          <w:sz w:val="20"/>
          <w:szCs w:val="20"/>
        </w:rPr>
      </w:pPr>
    </w:p>
    <w:p w:rsidR="00F540F6" w:rsidRPr="00F540F6" w:rsidRDefault="00F540F6" w:rsidP="0039727F">
      <w:pPr>
        <w:spacing w:after="0" w:line="240" w:lineRule="auto"/>
        <w:jc w:val="both"/>
        <w:rPr>
          <w:rFonts w:ascii="Arial" w:hAnsi="Arial" w:cs="Arial"/>
          <w:sz w:val="20"/>
          <w:szCs w:val="20"/>
        </w:rPr>
      </w:pPr>
      <w:r w:rsidRPr="00F540F6">
        <w:rPr>
          <w:rFonts w:ascii="Arial" w:hAnsi="Arial" w:cs="Arial"/>
          <w:sz w:val="20"/>
          <w:szCs w:val="20"/>
        </w:rPr>
        <w:t>In relation to the definition of assault, the legislation in South Australia which defines assault for the purposes of criminal proceedings is under Section 20 of the Criminal Law Consolidation Act 1935. A link to all South Australian legislation is http://www.legislation.sa.gov.au/index.aspx.</w:t>
      </w:r>
    </w:p>
    <w:p w:rsidR="004D722F" w:rsidRDefault="004D722F" w:rsidP="004D722F">
      <w:pPr>
        <w:spacing w:after="0" w:line="240" w:lineRule="auto"/>
        <w:rPr>
          <w:rFonts w:ascii="Arial" w:hAnsi="Arial" w:cs="Arial"/>
          <w:b/>
          <w:sz w:val="20"/>
          <w:szCs w:val="20"/>
          <w:u w:val="single"/>
        </w:rPr>
      </w:pPr>
    </w:p>
    <w:p w:rsidR="004D722F" w:rsidRDefault="004D722F" w:rsidP="004D722F">
      <w:pPr>
        <w:spacing w:after="0" w:line="240" w:lineRule="auto"/>
        <w:rPr>
          <w:rFonts w:ascii="Arial" w:hAnsi="Arial" w:cs="Arial"/>
          <w:b/>
          <w:sz w:val="20"/>
          <w:szCs w:val="20"/>
          <w:u w:val="single"/>
        </w:rPr>
      </w:pPr>
      <w:r w:rsidRPr="004D722F">
        <w:rPr>
          <w:rFonts w:ascii="Arial" w:hAnsi="Arial" w:cs="Arial"/>
          <w:b/>
          <w:sz w:val="20"/>
          <w:szCs w:val="20"/>
          <w:u w:val="single"/>
        </w:rPr>
        <w:t>New South Wales</w:t>
      </w:r>
    </w:p>
    <w:p w:rsidR="004D722F" w:rsidRDefault="004D722F" w:rsidP="004D722F">
      <w:pPr>
        <w:spacing w:after="0" w:line="240" w:lineRule="auto"/>
        <w:rPr>
          <w:rFonts w:ascii="Arial" w:eastAsia="Times New Roman" w:hAnsi="Arial" w:cs="Arial"/>
          <w:b/>
          <w:bCs/>
          <w:sz w:val="20"/>
          <w:szCs w:val="20"/>
          <w:lang w:eastAsia="en-AU"/>
        </w:rPr>
      </w:pPr>
    </w:p>
    <w:p w:rsidR="004D722F" w:rsidRPr="004D722F" w:rsidRDefault="004D722F" w:rsidP="004D722F">
      <w:pPr>
        <w:spacing w:after="0" w:line="240" w:lineRule="auto"/>
        <w:rPr>
          <w:rFonts w:ascii="Arial" w:hAnsi="Arial" w:cs="Arial"/>
          <w:b/>
          <w:sz w:val="20"/>
          <w:szCs w:val="20"/>
          <w:u w:val="single"/>
        </w:rPr>
      </w:pPr>
      <w:r w:rsidRPr="004D722F">
        <w:rPr>
          <w:rFonts w:ascii="Arial" w:eastAsia="Times New Roman" w:hAnsi="Arial" w:cs="Arial"/>
          <w:b/>
          <w:bCs/>
          <w:sz w:val="20"/>
          <w:szCs w:val="20"/>
          <w:lang w:eastAsia="en-AU"/>
        </w:rPr>
        <w:t xml:space="preserve">Assault </w:t>
      </w:r>
    </w:p>
    <w:p w:rsidR="004D722F" w:rsidRPr="004D722F" w:rsidRDefault="004D722F" w:rsidP="004D722F">
      <w:pPr>
        <w:spacing w:after="0" w:line="240" w:lineRule="auto"/>
        <w:ind w:left="340" w:hanging="340"/>
        <w:rPr>
          <w:rFonts w:ascii="Arial" w:eastAsia="Times New Roman" w:hAnsi="Arial" w:cs="Arial"/>
          <w:bCs/>
          <w:i/>
          <w:sz w:val="20"/>
          <w:szCs w:val="20"/>
          <w:lang w:eastAsia="en-AU"/>
        </w:rPr>
      </w:pPr>
      <w:bookmarkStart w:id="1" w:name="pt.3-div.9"/>
      <w:bookmarkEnd w:id="1"/>
      <w:r w:rsidRPr="004D722F">
        <w:rPr>
          <w:rFonts w:ascii="Arial" w:eastAsia="Times New Roman" w:hAnsi="Arial" w:cs="Arial"/>
          <w:bCs/>
          <w:sz w:val="20"/>
          <w:szCs w:val="20"/>
          <w:lang w:eastAsia="en-AU"/>
        </w:rPr>
        <w:t>Division 9</w:t>
      </w:r>
      <w:r w:rsidRPr="004D722F">
        <w:rPr>
          <w:rFonts w:ascii="Arial" w:eastAsia="Times New Roman" w:hAnsi="Arial" w:cs="Arial"/>
          <w:sz w:val="20"/>
          <w:szCs w:val="20"/>
          <w:lang w:eastAsia="en-AU"/>
        </w:rPr>
        <w:t xml:space="preserve"> </w:t>
      </w:r>
      <w:r w:rsidRPr="004D722F">
        <w:rPr>
          <w:rFonts w:ascii="Arial" w:eastAsia="Times New Roman" w:hAnsi="Arial" w:cs="Arial"/>
          <w:bCs/>
          <w:i/>
          <w:sz w:val="20"/>
          <w:szCs w:val="20"/>
          <w:lang w:eastAsia="en-AU"/>
        </w:rPr>
        <w:t xml:space="preserve">Crimes Act </w:t>
      </w:r>
    </w:p>
    <w:p w:rsidR="004D722F" w:rsidRDefault="004D722F" w:rsidP="004D722F">
      <w:pPr>
        <w:spacing w:after="0" w:line="240" w:lineRule="auto"/>
        <w:ind w:left="340" w:hanging="340"/>
        <w:rPr>
          <w:rFonts w:ascii="Arial" w:eastAsia="Times New Roman" w:hAnsi="Arial" w:cs="Arial"/>
          <w:bCs/>
          <w:sz w:val="20"/>
          <w:szCs w:val="20"/>
          <w:lang w:eastAsia="en-AU"/>
        </w:rPr>
      </w:pPr>
    </w:p>
    <w:p w:rsidR="004D722F" w:rsidRPr="004D722F" w:rsidRDefault="004D722F" w:rsidP="004D722F">
      <w:pPr>
        <w:spacing w:after="0" w:line="240" w:lineRule="auto"/>
        <w:ind w:left="340" w:hanging="340"/>
        <w:rPr>
          <w:rFonts w:ascii="Arial" w:eastAsia="Times New Roman" w:hAnsi="Arial" w:cs="Arial"/>
          <w:sz w:val="20"/>
          <w:szCs w:val="20"/>
          <w:lang w:eastAsia="en-AU"/>
        </w:rPr>
      </w:pPr>
      <w:r w:rsidRPr="004D722F">
        <w:rPr>
          <w:rFonts w:ascii="Arial" w:eastAsia="Times New Roman" w:hAnsi="Arial" w:cs="Arial"/>
          <w:bCs/>
          <w:sz w:val="20"/>
          <w:szCs w:val="20"/>
          <w:lang w:eastAsia="en-AU"/>
        </w:rPr>
        <w:t>Common assaults</w:t>
      </w:r>
    </w:p>
    <w:p w:rsidR="004D722F" w:rsidRDefault="004D722F" w:rsidP="004D722F">
      <w:pPr>
        <w:spacing w:after="0" w:line="240" w:lineRule="auto"/>
        <w:ind w:left="340" w:hanging="340"/>
        <w:rPr>
          <w:rFonts w:ascii="Arial" w:eastAsia="Times New Roman" w:hAnsi="Arial" w:cs="Arial"/>
          <w:bCs/>
          <w:sz w:val="20"/>
          <w:szCs w:val="20"/>
          <w:lang w:eastAsia="en-AU"/>
        </w:rPr>
      </w:pPr>
      <w:bookmarkStart w:id="2" w:name="pt.3-div.9-sec.61"/>
      <w:bookmarkEnd w:id="2"/>
    </w:p>
    <w:p w:rsidR="004D722F" w:rsidRPr="004D722F" w:rsidRDefault="004D722F" w:rsidP="004D722F">
      <w:pPr>
        <w:spacing w:after="0" w:line="240" w:lineRule="auto"/>
        <w:ind w:left="340" w:hanging="340"/>
        <w:rPr>
          <w:rFonts w:ascii="Arial" w:eastAsia="Times New Roman" w:hAnsi="Arial" w:cs="Arial"/>
          <w:sz w:val="20"/>
          <w:szCs w:val="20"/>
          <w:lang w:eastAsia="en-AU"/>
        </w:rPr>
      </w:pPr>
      <w:r w:rsidRPr="004D722F">
        <w:rPr>
          <w:rFonts w:ascii="Arial" w:eastAsia="Times New Roman" w:hAnsi="Arial" w:cs="Arial"/>
          <w:bCs/>
          <w:sz w:val="20"/>
          <w:szCs w:val="20"/>
          <w:lang w:eastAsia="en-AU"/>
        </w:rPr>
        <w:t>61</w:t>
      </w:r>
      <w:r w:rsidR="00DA447A">
        <w:rPr>
          <w:rFonts w:ascii="Arial" w:eastAsia="Times New Roman" w:hAnsi="Arial" w:cs="Arial"/>
          <w:sz w:val="20"/>
          <w:szCs w:val="20"/>
          <w:lang w:eastAsia="en-AU"/>
        </w:rPr>
        <w:t> </w:t>
      </w:r>
      <w:r w:rsidRPr="004D722F">
        <w:rPr>
          <w:rFonts w:ascii="Arial" w:eastAsia="Times New Roman" w:hAnsi="Arial" w:cs="Arial"/>
          <w:bCs/>
          <w:sz w:val="20"/>
          <w:szCs w:val="20"/>
          <w:lang w:eastAsia="en-AU"/>
        </w:rPr>
        <w:t>Common assault prosecuted by indictment</w:t>
      </w:r>
    </w:p>
    <w:p w:rsidR="004D722F" w:rsidRDefault="004D722F" w:rsidP="004D722F">
      <w:pPr>
        <w:spacing w:after="0" w:line="240" w:lineRule="auto"/>
        <w:rPr>
          <w:rFonts w:ascii="Arial" w:eastAsia="Times New Roman" w:hAnsi="Arial" w:cs="Arial"/>
          <w:sz w:val="20"/>
          <w:szCs w:val="20"/>
          <w:lang w:eastAsia="en-AU"/>
        </w:rPr>
      </w:pPr>
    </w:p>
    <w:p w:rsidR="004D722F" w:rsidRPr="004D722F" w:rsidRDefault="004D722F" w:rsidP="004D722F">
      <w:pPr>
        <w:spacing w:after="0" w:line="240" w:lineRule="auto"/>
        <w:rPr>
          <w:rFonts w:ascii="Arial" w:eastAsia="Times New Roman" w:hAnsi="Arial" w:cs="Arial"/>
          <w:sz w:val="20"/>
          <w:szCs w:val="20"/>
          <w:lang w:eastAsia="en-AU"/>
        </w:rPr>
      </w:pPr>
      <w:r w:rsidRPr="004D722F">
        <w:rPr>
          <w:rFonts w:ascii="Arial" w:eastAsia="Times New Roman" w:hAnsi="Arial" w:cs="Arial"/>
          <w:sz w:val="20"/>
          <w:szCs w:val="20"/>
          <w:lang w:eastAsia="en-AU"/>
        </w:rPr>
        <w:t xml:space="preserve">“Whosoever assaults any person, although not occasioning actual bodily </w:t>
      </w:r>
      <w:proofErr w:type="gramStart"/>
      <w:r w:rsidRPr="004D722F">
        <w:rPr>
          <w:rFonts w:ascii="Arial" w:eastAsia="Times New Roman" w:hAnsi="Arial" w:cs="Arial"/>
          <w:sz w:val="20"/>
          <w:szCs w:val="20"/>
          <w:lang w:eastAsia="en-AU"/>
        </w:rPr>
        <w:t>harm.</w:t>
      </w:r>
      <w:proofErr w:type="gramEnd"/>
      <w:r w:rsidRPr="004D722F">
        <w:rPr>
          <w:rFonts w:ascii="Arial" w:eastAsia="Times New Roman" w:hAnsi="Arial" w:cs="Arial"/>
          <w:sz w:val="20"/>
          <w:szCs w:val="20"/>
          <w:lang w:eastAsia="en-AU"/>
        </w:rPr>
        <w:t>”</w:t>
      </w:r>
    </w:p>
    <w:p w:rsidR="004D722F" w:rsidRPr="004D722F" w:rsidRDefault="004D722F" w:rsidP="004D722F">
      <w:pPr>
        <w:spacing w:after="0" w:line="240" w:lineRule="auto"/>
        <w:rPr>
          <w:rFonts w:ascii="Arial" w:eastAsia="Times New Roman" w:hAnsi="Arial" w:cs="Arial"/>
          <w:sz w:val="20"/>
          <w:szCs w:val="20"/>
          <w:lang w:eastAsia="en-AU"/>
        </w:rPr>
      </w:pPr>
    </w:p>
    <w:p w:rsidR="004D722F" w:rsidRPr="004D722F" w:rsidRDefault="004D722F" w:rsidP="004D722F">
      <w:pPr>
        <w:spacing w:after="0" w:line="240" w:lineRule="auto"/>
        <w:rPr>
          <w:rFonts w:ascii="Arial" w:eastAsia="Times New Roman" w:hAnsi="Arial" w:cs="Arial"/>
          <w:b/>
          <w:sz w:val="20"/>
          <w:szCs w:val="20"/>
          <w:lang w:eastAsia="en-AU"/>
        </w:rPr>
      </w:pPr>
      <w:r w:rsidRPr="004D722F">
        <w:rPr>
          <w:rFonts w:ascii="Arial" w:eastAsia="Times New Roman" w:hAnsi="Arial" w:cs="Arial"/>
          <w:b/>
          <w:color w:val="000000"/>
          <w:sz w:val="20"/>
          <w:szCs w:val="20"/>
          <w:shd w:val="clear" w:color="auto" w:fill="FFFFFF"/>
          <w:lang w:eastAsia="en-AU"/>
        </w:rPr>
        <w:t>Judicial Commission</w:t>
      </w:r>
      <w:r>
        <w:rPr>
          <w:rFonts w:ascii="Arial" w:eastAsia="Times New Roman" w:hAnsi="Arial" w:cs="Arial"/>
          <w:b/>
          <w:color w:val="000000"/>
          <w:sz w:val="20"/>
          <w:szCs w:val="20"/>
          <w:shd w:val="clear" w:color="auto" w:fill="FFFFFF"/>
          <w:lang w:eastAsia="en-AU"/>
        </w:rPr>
        <w:t xml:space="preserve"> S</w:t>
      </w:r>
      <w:r w:rsidRPr="004D722F">
        <w:rPr>
          <w:rFonts w:ascii="Arial" w:eastAsia="Times New Roman" w:hAnsi="Arial" w:cs="Arial"/>
          <w:b/>
          <w:color w:val="000000"/>
          <w:sz w:val="20"/>
          <w:szCs w:val="20"/>
          <w:shd w:val="clear" w:color="auto" w:fill="FFFFFF"/>
          <w:lang w:eastAsia="en-AU"/>
        </w:rPr>
        <w:t>tates</w:t>
      </w:r>
    </w:p>
    <w:p w:rsidR="004D722F" w:rsidRPr="004D722F" w:rsidRDefault="004D722F" w:rsidP="004D722F">
      <w:pPr>
        <w:shd w:val="clear" w:color="auto" w:fill="FFFFFF"/>
        <w:spacing w:after="0" w:line="240" w:lineRule="auto"/>
        <w:rPr>
          <w:rFonts w:ascii="Arial" w:eastAsia="Times New Roman" w:hAnsi="Arial" w:cs="Arial"/>
          <w:color w:val="000000"/>
          <w:sz w:val="20"/>
          <w:szCs w:val="20"/>
          <w:lang w:eastAsia="en-AU"/>
        </w:rPr>
      </w:pPr>
      <w:r w:rsidRPr="004D722F">
        <w:rPr>
          <w:rFonts w:ascii="Arial" w:eastAsia="Times New Roman" w:hAnsi="Arial" w:cs="Arial"/>
          <w:sz w:val="20"/>
          <w:szCs w:val="20"/>
          <w:lang w:eastAsia="en-AU"/>
        </w:rPr>
        <w:t>There are four eleme</w:t>
      </w:r>
      <w:r>
        <w:rPr>
          <w:rFonts w:ascii="Arial" w:eastAsia="Times New Roman" w:hAnsi="Arial" w:cs="Arial"/>
          <w:sz w:val="20"/>
          <w:szCs w:val="20"/>
          <w:lang w:eastAsia="en-AU"/>
        </w:rPr>
        <w:t>nts which constitute an assault</w:t>
      </w:r>
      <w:r w:rsidRPr="004D722F">
        <w:rPr>
          <w:rFonts w:ascii="Arial" w:eastAsia="Times New Roman" w:hAnsi="Arial" w:cs="Arial"/>
          <w:sz w:val="20"/>
          <w:szCs w:val="20"/>
          <w:lang w:eastAsia="en-AU"/>
        </w:rPr>
        <w:t>:</w:t>
      </w:r>
    </w:p>
    <w:p w:rsidR="004D722F" w:rsidRPr="004D722F" w:rsidRDefault="004D722F" w:rsidP="004D722F">
      <w:pPr>
        <w:numPr>
          <w:ilvl w:val="0"/>
          <w:numId w:val="4"/>
        </w:numPr>
        <w:shd w:val="clear" w:color="auto" w:fill="FFFFFF"/>
        <w:tabs>
          <w:tab w:val="clear" w:pos="720"/>
          <w:tab w:val="num" w:pos="360"/>
        </w:tabs>
        <w:spacing w:after="0" w:line="240" w:lineRule="auto"/>
        <w:ind w:left="360"/>
        <w:jc w:val="both"/>
        <w:rPr>
          <w:rFonts w:ascii="Arial" w:eastAsia="Times New Roman" w:hAnsi="Arial" w:cs="Arial"/>
          <w:color w:val="000000"/>
          <w:sz w:val="20"/>
          <w:szCs w:val="20"/>
          <w:lang w:eastAsia="en-AU"/>
        </w:rPr>
      </w:pPr>
      <w:r w:rsidRPr="004D722F">
        <w:rPr>
          <w:rFonts w:ascii="Arial" w:eastAsia="Times New Roman" w:hAnsi="Arial" w:cs="Arial"/>
          <w:color w:val="000000"/>
          <w:sz w:val="20"/>
          <w:szCs w:val="20"/>
          <w:lang w:eastAsia="en-AU"/>
        </w:rPr>
        <w:t>An act by the accused which intentionally, or recklessly, causes another person (the complainant) to apprehend immediate and unlawful violence.</w:t>
      </w:r>
    </w:p>
    <w:p w:rsidR="004D722F" w:rsidRPr="004D722F" w:rsidRDefault="004D722F" w:rsidP="004D722F">
      <w:pPr>
        <w:numPr>
          <w:ilvl w:val="0"/>
          <w:numId w:val="4"/>
        </w:numPr>
        <w:shd w:val="clear" w:color="auto" w:fill="FFFFFF"/>
        <w:spacing w:after="0" w:line="240" w:lineRule="auto"/>
        <w:ind w:left="360"/>
        <w:jc w:val="both"/>
        <w:rPr>
          <w:rFonts w:ascii="Arial" w:eastAsia="Times New Roman" w:hAnsi="Arial" w:cs="Arial"/>
          <w:color w:val="000000"/>
          <w:sz w:val="20"/>
          <w:szCs w:val="20"/>
          <w:lang w:eastAsia="en-AU"/>
        </w:rPr>
      </w:pPr>
      <w:r w:rsidRPr="004D722F">
        <w:rPr>
          <w:rFonts w:ascii="Arial" w:eastAsia="Times New Roman" w:hAnsi="Arial" w:cs="Arial"/>
          <w:sz w:val="20"/>
          <w:szCs w:val="20"/>
          <w:lang w:eastAsia="en-AU"/>
        </w:rPr>
        <w:lastRenderedPageBreak/>
        <w:t>That such conduct of the accused was without the consent of the complainant.</w:t>
      </w:r>
    </w:p>
    <w:p w:rsidR="004D722F" w:rsidRPr="004D722F" w:rsidRDefault="004D722F" w:rsidP="004D722F">
      <w:pPr>
        <w:numPr>
          <w:ilvl w:val="0"/>
          <w:numId w:val="4"/>
        </w:numPr>
        <w:shd w:val="clear" w:color="auto" w:fill="FFFFFF"/>
        <w:spacing w:after="0" w:line="240" w:lineRule="auto"/>
        <w:ind w:left="360"/>
        <w:jc w:val="both"/>
        <w:rPr>
          <w:rFonts w:ascii="Arial" w:eastAsia="Times New Roman" w:hAnsi="Arial" w:cs="Arial"/>
          <w:color w:val="000000"/>
          <w:sz w:val="20"/>
          <w:szCs w:val="20"/>
          <w:lang w:eastAsia="en-AU"/>
        </w:rPr>
      </w:pPr>
      <w:r w:rsidRPr="004D722F">
        <w:rPr>
          <w:rFonts w:ascii="Arial" w:eastAsia="Times New Roman" w:hAnsi="Arial" w:cs="Arial"/>
          <w:sz w:val="20"/>
          <w:szCs w:val="20"/>
          <w:lang w:eastAsia="en-AU"/>
        </w:rPr>
        <w:t>That such conduct was intentional or reckless in the sense that the accused realised that the complainant might fear that the complainant would then and there be subject to immediate and unlawful violence and none the less went on and took that risk.</w:t>
      </w:r>
    </w:p>
    <w:p w:rsidR="004D722F" w:rsidRPr="004D722F" w:rsidRDefault="004D722F" w:rsidP="004D722F">
      <w:pPr>
        <w:numPr>
          <w:ilvl w:val="0"/>
          <w:numId w:val="4"/>
        </w:numPr>
        <w:shd w:val="clear" w:color="auto" w:fill="FFFFFF"/>
        <w:spacing w:after="0" w:line="240" w:lineRule="auto"/>
        <w:ind w:left="360"/>
        <w:jc w:val="both"/>
        <w:rPr>
          <w:rFonts w:ascii="Arial" w:eastAsia="Times New Roman" w:hAnsi="Arial" w:cs="Arial"/>
          <w:color w:val="000000"/>
          <w:sz w:val="20"/>
          <w:szCs w:val="20"/>
          <w:lang w:eastAsia="en-AU"/>
        </w:rPr>
      </w:pPr>
      <w:r w:rsidRPr="004D722F">
        <w:rPr>
          <w:rFonts w:ascii="Arial" w:eastAsia="Times New Roman" w:hAnsi="Arial" w:cs="Arial"/>
          <w:sz w:val="20"/>
          <w:szCs w:val="20"/>
          <w:lang w:eastAsia="en-AU"/>
        </w:rPr>
        <w:t xml:space="preserve">That such conduct </w:t>
      </w:r>
      <w:proofErr w:type="gramStart"/>
      <w:r w:rsidRPr="004D722F">
        <w:rPr>
          <w:rFonts w:ascii="Arial" w:eastAsia="Times New Roman" w:hAnsi="Arial" w:cs="Arial"/>
          <w:sz w:val="20"/>
          <w:szCs w:val="20"/>
          <w:lang w:eastAsia="en-AU"/>
        </w:rPr>
        <w:t>be</w:t>
      </w:r>
      <w:proofErr w:type="gramEnd"/>
      <w:r w:rsidRPr="004D722F">
        <w:rPr>
          <w:rFonts w:ascii="Arial" w:eastAsia="Times New Roman" w:hAnsi="Arial" w:cs="Arial"/>
          <w:sz w:val="20"/>
          <w:szCs w:val="20"/>
          <w:lang w:eastAsia="en-AU"/>
        </w:rPr>
        <w:t xml:space="preserve"> without lawful excuse.</w:t>
      </w:r>
    </w:p>
    <w:p w:rsidR="004D722F" w:rsidRPr="004D722F" w:rsidRDefault="004D722F" w:rsidP="004D722F">
      <w:pPr>
        <w:shd w:val="clear" w:color="auto" w:fill="FFFFFF"/>
        <w:spacing w:after="0" w:line="240" w:lineRule="auto"/>
        <w:rPr>
          <w:rFonts w:ascii="Arial" w:eastAsia="Times New Roman" w:hAnsi="Arial" w:cs="Arial"/>
          <w:sz w:val="20"/>
          <w:szCs w:val="20"/>
          <w:lang w:eastAsia="en-AU"/>
        </w:rPr>
      </w:pPr>
    </w:p>
    <w:p w:rsidR="004D722F" w:rsidRPr="004D722F" w:rsidRDefault="004D722F" w:rsidP="004D722F">
      <w:pPr>
        <w:shd w:val="clear" w:color="auto" w:fill="FFFFFF"/>
        <w:spacing w:after="0" w:line="240" w:lineRule="auto"/>
        <w:rPr>
          <w:rFonts w:ascii="Arial" w:eastAsia="Times New Roman" w:hAnsi="Arial" w:cs="Arial"/>
          <w:b/>
          <w:color w:val="000000"/>
          <w:sz w:val="20"/>
          <w:szCs w:val="20"/>
          <w:lang w:eastAsia="en-AU"/>
        </w:rPr>
      </w:pPr>
      <w:r>
        <w:rPr>
          <w:rFonts w:ascii="Arial" w:eastAsia="Times New Roman" w:hAnsi="Arial" w:cs="Arial"/>
          <w:b/>
          <w:sz w:val="20"/>
          <w:szCs w:val="20"/>
          <w:lang w:eastAsia="en-AU"/>
        </w:rPr>
        <w:t>R</w:t>
      </w:r>
      <w:r w:rsidRPr="004D722F">
        <w:rPr>
          <w:rFonts w:ascii="Arial" w:eastAsia="Times New Roman" w:hAnsi="Arial" w:cs="Arial"/>
          <w:b/>
          <w:sz w:val="20"/>
          <w:szCs w:val="20"/>
          <w:lang w:eastAsia="en-AU"/>
        </w:rPr>
        <w:t xml:space="preserve">eference is for Judges </w:t>
      </w:r>
    </w:p>
    <w:p w:rsidR="004D722F" w:rsidRPr="004D722F" w:rsidRDefault="004D722F" w:rsidP="004D722F">
      <w:pPr>
        <w:spacing w:after="0" w:line="240" w:lineRule="auto"/>
        <w:rPr>
          <w:rFonts w:ascii="Arial" w:eastAsia="Times New Roman" w:hAnsi="Arial" w:cs="Arial"/>
          <w:sz w:val="20"/>
          <w:szCs w:val="20"/>
          <w:lang w:eastAsia="en-AU"/>
        </w:rPr>
      </w:pPr>
      <w:r w:rsidRPr="004D722F">
        <w:rPr>
          <w:rFonts w:ascii="Arial" w:eastAsia="Times New Roman" w:hAnsi="Arial" w:cs="Arial"/>
          <w:color w:val="000000"/>
          <w:sz w:val="20"/>
          <w:szCs w:val="20"/>
          <w:shd w:val="clear" w:color="auto" w:fill="FFFFFF"/>
          <w:lang w:eastAsia="en-AU"/>
        </w:rPr>
        <w:t>An assault is any act — and not a mere omission to act — by which a person intentionally — or recklessly — causes another to apprehend immediate and unlawful violence</w:t>
      </w:r>
      <w:r>
        <w:rPr>
          <w:rFonts w:ascii="Arial" w:eastAsia="Times New Roman" w:hAnsi="Arial" w:cs="Arial"/>
          <w:sz w:val="20"/>
          <w:szCs w:val="20"/>
          <w:lang w:eastAsia="en-AU"/>
        </w:rPr>
        <w:t>.</w:t>
      </w:r>
    </w:p>
    <w:p w:rsidR="004D722F" w:rsidRPr="004D722F" w:rsidRDefault="004D722F" w:rsidP="004D722F">
      <w:pPr>
        <w:spacing w:after="0" w:line="240" w:lineRule="auto"/>
        <w:rPr>
          <w:rFonts w:ascii="Arial" w:eastAsia="Times New Roman" w:hAnsi="Arial" w:cs="Arial"/>
          <w:i/>
          <w:sz w:val="20"/>
          <w:szCs w:val="20"/>
          <w:lang w:eastAsia="en-AU"/>
        </w:rPr>
      </w:pPr>
    </w:p>
    <w:p w:rsidR="004D722F" w:rsidRPr="00F540F6" w:rsidRDefault="004D722F">
      <w:pPr>
        <w:rPr>
          <w:b/>
        </w:rPr>
      </w:pPr>
    </w:p>
    <w:sectPr w:rsidR="004D722F" w:rsidRPr="00F540F6" w:rsidSect="00F57415">
      <w:footerReference w:type="default" r:id="rId2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C4B" w:rsidRDefault="00DE7C4B" w:rsidP="004D722F">
      <w:pPr>
        <w:spacing w:after="0" w:line="240" w:lineRule="auto"/>
      </w:pPr>
      <w:r>
        <w:separator/>
      </w:r>
    </w:p>
  </w:endnote>
  <w:endnote w:type="continuationSeparator" w:id="0">
    <w:p w:rsidR="00DE7C4B" w:rsidRDefault="00DE7C4B" w:rsidP="004D7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010275"/>
      <w:docPartObj>
        <w:docPartGallery w:val="Page Numbers (Bottom of Page)"/>
        <w:docPartUnique/>
      </w:docPartObj>
    </w:sdtPr>
    <w:sdtEndPr>
      <w:rPr>
        <w:noProof/>
      </w:rPr>
    </w:sdtEndPr>
    <w:sdtContent>
      <w:p w:rsidR="004D722F" w:rsidRDefault="004D722F">
        <w:pPr>
          <w:pStyle w:val="Footer"/>
          <w:jc w:val="right"/>
        </w:pPr>
        <w:r>
          <w:fldChar w:fldCharType="begin"/>
        </w:r>
        <w:r>
          <w:instrText xml:space="preserve"> PAGE   \* MERGEFORMAT </w:instrText>
        </w:r>
        <w:r>
          <w:fldChar w:fldCharType="separate"/>
        </w:r>
        <w:r w:rsidR="009B12B8">
          <w:rPr>
            <w:noProof/>
          </w:rPr>
          <w:t>2</w:t>
        </w:r>
        <w:r>
          <w:rPr>
            <w:noProof/>
          </w:rPr>
          <w:fldChar w:fldCharType="end"/>
        </w:r>
      </w:p>
    </w:sdtContent>
  </w:sdt>
  <w:p w:rsidR="004D722F" w:rsidRDefault="004D72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C4B" w:rsidRDefault="00DE7C4B" w:rsidP="004D722F">
      <w:pPr>
        <w:spacing w:after="0" w:line="240" w:lineRule="auto"/>
      </w:pPr>
      <w:r>
        <w:separator/>
      </w:r>
    </w:p>
  </w:footnote>
  <w:footnote w:type="continuationSeparator" w:id="0">
    <w:p w:rsidR="00DE7C4B" w:rsidRDefault="00DE7C4B" w:rsidP="004D72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6A1602"/>
    <w:multiLevelType w:val="hybridMultilevel"/>
    <w:tmpl w:val="60091389"/>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E609D27C"/>
    <w:multiLevelType w:val="hybridMultilevel"/>
    <w:tmpl w:val="FBCF359E"/>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8A26D46"/>
    <w:multiLevelType w:val="hybridMultilevel"/>
    <w:tmpl w:val="C330912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nsid w:val="0BDA4AF3"/>
    <w:multiLevelType w:val="hybridMultilevel"/>
    <w:tmpl w:val="8DE2C09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nsid w:val="26C215F1"/>
    <w:multiLevelType w:val="hybridMultilevel"/>
    <w:tmpl w:val="CAC0DC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F324D80"/>
    <w:multiLevelType w:val="hybridMultilevel"/>
    <w:tmpl w:val="C7929E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FC9705E"/>
    <w:multiLevelType w:val="hybridMultilevel"/>
    <w:tmpl w:val="49BE4E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5C75ABC"/>
    <w:multiLevelType w:val="hybridMultilevel"/>
    <w:tmpl w:val="598CD9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49272610"/>
    <w:multiLevelType w:val="hybridMultilevel"/>
    <w:tmpl w:val="F92E1E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4EDA41F1"/>
    <w:multiLevelType w:val="hybridMultilevel"/>
    <w:tmpl w:val="DBC6DD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50940A79"/>
    <w:multiLevelType w:val="hybridMultilevel"/>
    <w:tmpl w:val="DDDA83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5F8118ED"/>
    <w:multiLevelType w:val="hybridMultilevel"/>
    <w:tmpl w:val="BE1CE8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67310A8F"/>
    <w:multiLevelType w:val="hybridMultilevel"/>
    <w:tmpl w:val="82F8D0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6AA20AB6"/>
    <w:multiLevelType w:val="hybridMultilevel"/>
    <w:tmpl w:val="2EDAA5B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nsid w:val="75522A7F"/>
    <w:multiLevelType w:val="hybridMultilevel"/>
    <w:tmpl w:val="0E2AE3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12"/>
  </w:num>
  <w:num w:numId="3">
    <w:abstractNumId w:val="13"/>
  </w:num>
  <w:num w:numId="4">
    <w:abstractNumId w:val="3"/>
  </w:num>
  <w:num w:numId="5">
    <w:abstractNumId w:val="8"/>
  </w:num>
  <w:num w:numId="6">
    <w:abstractNumId w:val="10"/>
  </w:num>
  <w:num w:numId="7">
    <w:abstractNumId w:val="5"/>
  </w:num>
  <w:num w:numId="8">
    <w:abstractNumId w:val="1"/>
    <w:lvlOverride w:ilvl="0">
      <w:startOverride w:val="1"/>
    </w:lvlOverride>
    <w:lvlOverride w:ilvl="1"/>
    <w:lvlOverride w:ilvl="2"/>
    <w:lvlOverride w:ilvl="3"/>
    <w:lvlOverride w:ilvl="4"/>
    <w:lvlOverride w:ilvl="5"/>
    <w:lvlOverride w:ilvl="6"/>
    <w:lvlOverride w:ilvl="7"/>
    <w:lvlOverride w:ilvl="8"/>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2"/>
  </w:num>
  <w:num w:numId="11">
    <w:abstractNumId w:val="2"/>
  </w:num>
  <w:num w:numId="12">
    <w:abstractNumId w:val="4"/>
  </w:num>
  <w:num w:numId="13">
    <w:abstractNumId w:val="6"/>
  </w:num>
  <w:num w:numId="14">
    <w:abstractNumId w:val="7"/>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415"/>
    <w:rsid w:val="00012D1F"/>
    <w:rsid w:val="001B45A1"/>
    <w:rsid w:val="00211001"/>
    <w:rsid w:val="002C548D"/>
    <w:rsid w:val="002D0BB7"/>
    <w:rsid w:val="0039727F"/>
    <w:rsid w:val="004C4D29"/>
    <w:rsid w:val="004D722F"/>
    <w:rsid w:val="005570B4"/>
    <w:rsid w:val="005F50AD"/>
    <w:rsid w:val="0066068D"/>
    <w:rsid w:val="00663F32"/>
    <w:rsid w:val="007204A9"/>
    <w:rsid w:val="00807EC7"/>
    <w:rsid w:val="009A219D"/>
    <w:rsid w:val="009B12B8"/>
    <w:rsid w:val="00BC0C7C"/>
    <w:rsid w:val="00C54E30"/>
    <w:rsid w:val="00DA447A"/>
    <w:rsid w:val="00DE7C4B"/>
    <w:rsid w:val="00F540F6"/>
    <w:rsid w:val="00F574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7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40F6"/>
    <w:pPr>
      <w:ind w:left="720"/>
      <w:contextualSpacing/>
    </w:pPr>
  </w:style>
  <w:style w:type="paragraph" w:styleId="Header">
    <w:name w:val="header"/>
    <w:basedOn w:val="Normal"/>
    <w:link w:val="HeaderChar"/>
    <w:uiPriority w:val="99"/>
    <w:unhideWhenUsed/>
    <w:rsid w:val="004D7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22F"/>
  </w:style>
  <w:style w:type="paragraph" w:styleId="Footer">
    <w:name w:val="footer"/>
    <w:basedOn w:val="Normal"/>
    <w:link w:val="FooterChar"/>
    <w:uiPriority w:val="99"/>
    <w:unhideWhenUsed/>
    <w:rsid w:val="004D7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22F"/>
  </w:style>
  <w:style w:type="character" w:styleId="Hyperlink">
    <w:name w:val="Hyperlink"/>
    <w:basedOn w:val="DefaultParagraphFont"/>
    <w:uiPriority w:val="99"/>
    <w:semiHidden/>
    <w:unhideWhenUsed/>
    <w:rsid w:val="002110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7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40F6"/>
    <w:pPr>
      <w:ind w:left="720"/>
      <w:contextualSpacing/>
    </w:pPr>
  </w:style>
  <w:style w:type="paragraph" w:styleId="Header">
    <w:name w:val="header"/>
    <w:basedOn w:val="Normal"/>
    <w:link w:val="HeaderChar"/>
    <w:uiPriority w:val="99"/>
    <w:unhideWhenUsed/>
    <w:rsid w:val="004D7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22F"/>
  </w:style>
  <w:style w:type="paragraph" w:styleId="Footer">
    <w:name w:val="footer"/>
    <w:basedOn w:val="Normal"/>
    <w:link w:val="FooterChar"/>
    <w:uiPriority w:val="99"/>
    <w:unhideWhenUsed/>
    <w:rsid w:val="004D7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22F"/>
  </w:style>
  <w:style w:type="character" w:styleId="Hyperlink">
    <w:name w:val="Hyperlink"/>
    <w:basedOn w:val="DefaultParagraphFont"/>
    <w:uiPriority w:val="99"/>
    <w:semiHidden/>
    <w:unhideWhenUsed/>
    <w:rsid w:val="002110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43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p.wa.gov.au/legislation/statutes.nsf/main_mrtitle_1101_homepage.html" TargetMode="External"/><Relationship Id="rId13" Type="http://schemas.openxmlformats.org/officeDocument/2006/relationships/hyperlink" Target="https://www.slp.wa.gov.au/legislation/statutes.nsf/main_mrtitle_218_homepage.html" TargetMode="External"/><Relationship Id="rId18" Type="http://schemas.openxmlformats.org/officeDocument/2006/relationships/hyperlink" Target="https://www.slp.wa.gov.au/legislation/statutes.nsf/main_mrtitle_878_homepage.html" TargetMode="External"/><Relationship Id="rId26" Type="http://schemas.openxmlformats.org/officeDocument/2006/relationships/customXml" Target="../customXml/item3.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lp.wa.gov.au/legislation/statutes.nsf/main_mrtitle_132_homepage.html" TargetMode="External"/><Relationship Id="rId17" Type="http://schemas.openxmlformats.org/officeDocument/2006/relationships/hyperlink" Target="https://www.slp.wa.gov.au/legislation/statutes.nsf/main_mrtitle_888_homepage.html"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www.slp.wa.gov.au/legislation/statutes.nsf/main_mrtitle_887_homepage.html" TargetMode="External"/><Relationship Id="rId20" Type="http://schemas.openxmlformats.org/officeDocument/2006/relationships/hyperlink" Target="https://www.slp.wa.gov.au/legislation/statutes.nsf/main_mrtitle_218_homepage.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lp.wa.gov.au/legislation/statutes.nsf/main_mrtitle_70_homepage.html" TargetMode="External"/><Relationship Id="rId24" Type="http://schemas.openxmlformats.org/officeDocument/2006/relationships/customXml" Target="../customXml/item1.xml"/><Relationship Id="rId5" Type="http://schemas.openxmlformats.org/officeDocument/2006/relationships/webSettings" Target="webSettings.xml"/><Relationship Id="rId15" Type="http://schemas.openxmlformats.org/officeDocument/2006/relationships/hyperlink" Target="https://www.slp.wa.gov.au/legislation/statutes.nsf/main_mrtitle_848_homepage.html" TargetMode="External"/><Relationship Id="rId23" Type="http://schemas.openxmlformats.org/officeDocument/2006/relationships/theme" Target="theme/theme1.xml"/><Relationship Id="rId10" Type="http://schemas.openxmlformats.org/officeDocument/2006/relationships/hyperlink" Target="https://www.slp.wa.gov.au/legislation/statutes.nsf/main_mrtitle_133_homepage.html" TargetMode="External"/><Relationship Id="rId19" Type="http://schemas.openxmlformats.org/officeDocument/2006/relationships/hyperlink" Target="http://www.police.wa.gov.au/Aboutus/Statistics/Crimestatistics/Offencedescriptions/tabid/1213/Default.aspx" TargetMode="External"/><Relationship Id="rId4" Type="http://schemas.openxmlformats.org/officeDocument/2006/relationships/settings" Target="settings.xml"/><Relationship Id="rId9" Type="http://schemas.openxmlformats.org/officeDocument/2006/relationships/hyperlink" Target="https://www.slp.wa.gov.au/legislation/statutes.nsf/main_mrtitle_2230_homepage.html" TargetMode="External"/><Relationship Id="rId14" Type="http://schemas.openxmlformats.org/officeDocument/2006/relationships/hyperlink" Target="https://www.slp.wa.gov.au/legislation/statutes.nsf/main_mrtitle_729_homepage.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F9D1E54DECAE41889975AFF889CF46" ma:contentTypeVersion="0" ma:contentTypeDescription="Create a new document." ma:contentTypeScope="" ma:versionID="ca9e6aa8be810420af2d16690cb5d38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BBDC5D0-DDDE-4CD3-84F4-D01DD1CA7CA7}"/>
</file>

<file path=customXml/itemProps2.xml><?xml version="1.0" encoding="utf-8"?>
<ds:datastoreItem xmlns:ds="http://schemas.openxmlformats.org/officeDocument/2006/customXml" ds:itemID="{7C7E6671-4584-4562-8075-19D13486C6A1}"/>
</file>

<file path=customXml/itemProps3.xml><?xml version="1.0" encoding="utf-8"?>
<ds:datastoreItem xmlns:ds="http://schemas.openxmlformats.org/officeDocument/2006/customXml" ds:itemID="{04830D6D-198F-43B2-9EB7-DDC18378D42B}"/>
</file>

<file path=docProps/app.xml><?xml version="1.0" encoding="utf-8"?>
<Properties xmlns="http://schemas.openxmlformats.org/officeDocument/2006/extended-properties" xmlns:vt="http://schemas.openxmlformats.org/officeDocument/2006/docPropsVTypes">
  <Template>Normal</Template>
  <TotalTime>324</TotalTime>
  <Pages>4</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NTG</Company>
  <LinksUpToDate>false</LinksUpToDate>
  <CharactersWithSpaces>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Maynard</dc:creator>
  <cp:lastModifiedBy>Justine Maynard</cp:lastModifiedBy>
  <cp:revision>14</cp:revision>
  <dcterms:created xsi:type="dcterms:W3CDTF">2015-10-27T02:21:00Z</dcterms:created>
  <dcterms:modified xsi:type="dcterms:W3CDTF">2015-11-10T00:43:00Z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0x0101007EF9D1E54DECAE41889975AFF889CF46</vt:lpwstr>
  </property>
</Properties>
</file>