
<file path=[Content_Types].xml><?xml version="1.0" encoding="utf-8"?>
<Types xmlns="http://schemas.openxmlformats.org/package/2006/content-types">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Override PartName="/word/theme/themeOverride1.xml" ContentType="application/vnd.openxmlformats-officedocument.themeOverrid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47" w:rsidRDefault="00983647">
      <w:bookmarkStart w:id="0" w:name="_GoBack"/>
      <w:bookmarkEnd w:id="0"/>
    </w:p>
    <w:p w:rsidR="006C41E5" w:rsidRPr="00B07EC3" w:rsidRDefault="006C41E5">
      <w:pPr>
        <w:rPr>
          <w:b/>
          <w:sz w:val="28"/>
          <w:szCs w:val="28"/>
        </w:rPr>
      </w:pPr>
    </w:p>
    <w:p w:rsidR="006C41E5" w:rsidRPr="0011782B" w:rsidRDefault="006C41E5" w:rsidP="006C41E5">
      <w:pPr>
        <w:jc w:val="center"/>
        <w:rPr>
          <w:b/>
          <w:sz w:val="36"/>
          <w:szCs w:val="36"/>
        </w:rPr>
      </w:pPr>
      <w:r w:rsidRPr="0011782B">
        <w:rPr>
          <w:b/>
          <w:sz w:val="36"/>
          <w:szCs w:val="36"/>
        </w:rPr>
        <w:t>Australasian Juvenile Justice Administrators Meeting</w:t>
      </w:r>
    </w:p>
    <w:p w:rsidR="006C41E5" w:rsidRPr="0011782B" w:rsidRDefault="006C41E5" w:rsidP="006C41E5">
      <w:pPr>
        <w:jc w:val="center"/>
        <w:rPr>
          <w:b/>
          <w:sz w:val="36"/>
          <w:szCs w:val="36"/>
        </w:rPr>
      </w:pPr>
    </w:p>
    <w:p w:rsidR="006C41E5" w:rsidRPr="0011782B" w:rsidRDefault="004F1E06" w:rsidP="006C41E5">
      <w:pPr>
        <w:jc w:val="center"/>
        <w:rPr>
          <w:b/>
          <w:sz w:val="36"/>
          <w:szCs w:val="36"/>
        </w:rPr>
      </w:pPr>
      <w:r>
        <w:rPr>
          <w:b/>
          <w:sz w:val="36"/>
          <w:szCs w:val="36"/>
        </w:rPr>
        <w:t>13 - 14 November</w:t>
      </w:r>
      <w:r w:rsidR="00416B50">
        <w:rPr>
          <w:b/>
          <w:sz w:val="36"/>
          <w:szCs w:val="36"/>
        </w:rPr>
        <w:t xml:space="preserve"> 2014</w:t>
      </w:r>
    </w:p>
    <w:p w:rsidR="00B07EC3" w:rsidRPr="0011782B" w:rsidRDefault="00B07EC3" w:rsidP="006C41E5">
      <w:pPr>
        <w:jc w:val="center"/>
        <w:rPr>
          <w:b/>
          <w:sz w:val="36"/>
          <w:szCs w:val="36"/>
        </w:rPr>
      </w:pPr>
    </w:p>
    <w:p w:rsidR="006C41E5" w:rsidRPr="0011782B" w:rsidRDefault="004F1E06" w:rsidP="006C41E5">
      <w:pPr>
        <w:jc w:val="center"/>
        <w:rPr>
          <w:b/>
          <w:sz w:val="36"/>
          <w:szCs w:val="36"/>
        </w:rPr>
      </w:pPr>
      <w:r>
        <w:rPr>
          <w:b/>
          <w:sz w:val="36"/>
          <w:szCs w:val="36"/>
        </w:rPr>
        <w:t>Sydney</w:t>
      </w:r>
    </w:p>
    <w:p w:rsidR="006C41E5" w:rsidRPr="0011782B" w:rsidRDefault="006C41E5" w:rsidP="006C41E5">
      <w:pPr>
        <w:jc w:val="center"/>
        <w:rPr>
          <w:b/>
          <w:sz w:val="36"/>
          <w:szCs w:val="36"/>
        </w:rPr>
      </w:pPr>
    </w:p>
    <w:p w:rsidR="00416B50" w:rsidRDefault="00416B50" w:rsidP="006C41E5">
      <w:pPr>
        <w:jc w:val="center"/>
        <w:rPr>
          <w:b/>
          <w:sz w:val="36"/>
          <w:szCs w:val="36"/>
        </w:rPr>
      </w:pPr>
      <w:r>
        <w:rPr>
          <w:b/>
          <w:sz w:val="36"/>
          <w:szCs w:val="36"/>
        </w:rPr>
        <w:t>New Zealand</w:t>
      </w:r>
    </w:p>
    <w:p w:rsidR="006C41E5" w:rsidRPr="0011782B" w:rsidRDefault="00416B50" w:rsidP="006C41E5">
      <w:pPr>
        <w:jc w:val="center"/>
        <w:rPr>
          <w:b/>
          <w:sz w:val="36"/>
          <w:szCs w:val="36"/>
        </w:rPr>
      </w:pPr>
      <w:r>
        <w:rPr>
          <w:b/>
          <w:sz w:val="36"/>
          <w:szCs w:val="36"/>
        </w:rPr>
        <w:t xml:space="preserve">Jurisdictional </w:t>
      </w:r>
      <w:r w:rsidR="006C41E5" w:rsidRPr="0011782B">
        <w:rPr>
          <w:b/>
          <w:sz w:val="36"/>
          <w:szCs w:val="36"/>
        </w:rPr>
        <w:t>Report</w:t>
      </w:r>
    </w:p>
    <w:p w:rsidR="00B07EC3" w:rsidRPr="00B07EC3" w:rsidRDefault="006C41E5">
      <w:pPr>
        <w:rPr>
          <w:i/>
          <w:color w:val="FF0000"/>
        </w:rPr>
      </w:pPr>
      <w:r>
        <w:br w:type="page"/>
      </w:r>
    </w:p>
    <w:p w:rsidR="006C41E5" w:rsidRDefault="006C41E5">
      <w:pPr>
        <w:pStyle w:val="TOCHeading"/>
      </w:pPr>
      <w:r>
        <w:lastRenderedPageBreak/>
        <w:t>Contents</w:t>
      </w:r>
    </w:p>
    <w:p w:rsidR="001D2C7E" w:rsidRDefault="008379D8">
      <w:pPr>
        <w:pStyle w:val="TOC1"/>
        <w:tabs>
          <w:tab w:val="left" w:pos="440"/>
          <w:tab w:val="right" w:leader="dot" w:pos="9016"/>
        </w:tabs>
        <w:rPr>
          <w:rFonts w:asciiTheme="minorHAnsi" w:eastAsiaTheme="minorEastAsia" w:hAnsiTheme="minorHAnsi" w:cstheme="minorBidi"/>
          <w:noProof/>
          <w:lang w:val="en-NZ" w:eastAsia="en-NZ"/>
        </w:rPr>
      </w:pPr>
      <w:r>
        <w:fldChar w:fldCharType="begin"/>
      </w:r>
      <w:r w:rsidR="006C41E5">
        <w:instrText xml:space="preserve"> TOC \o "1-3" \h \z \u </w:instrText>
      </w:r>
      <w:r>
        <w:fldChar w:fldCharType="separate"/>
      </w:r>
      <w:hyperlink w:anchor="_Toc400525431" w:history="1">
        <w:r w:rsidR="001D2C7E" w:rsidRPr="005033C6">
          <w:rPr>
            <w:rStyle w:val="Hyperlink"/>
            <w:noProof/>
          </w:rPr>
          <w:t>1.</w:t>
        </w:r>
        <w:r w:rsidR="001D2C7E">
          <w:rPr>
            <w:rFonts w:asciiTheme="minorHAnsi" w:eastAsiaTheme="minorEastAsia" w:hAnsiTheme="minorHAnsi" w:cstheme="minorBidi"/>
            <w:noProof/>
            <w:lang w:val="en-NZ" w:eastAsia="en-NZ"/>
          </w:rPr>
          <w:tab/>
        </w:r>
        <w:r w:rsidR="001D2C7E" w:rsidRPr="005033C6">
          <w:rPr>
            <w:rStyle w:val="Hyperlink"/>
            <w:noProof/>
          </w:rPr>
          <w:t>New Zealand Youth Justice Statistics</w:t>
        </w:r>
        <w:r w:rsidR="001D2C7E">
          <w:rPr>
            <w:noProof/>
            <w:webHidden/>
          </w:rPr>
          <w:tab/>
        </w:r>
        <w:r w:rsidR="001D2C7E">
          <w:rPr>
            <w:noProof/>
            <w:webHidden/>
          </w:rPr>
          <w:fldChar w:fldCharType="begin"/>
        </w:r>
        <w:r w:rsidR="001D2C7E">
          <w:rPr>
            <w:noProof/>
            <w:webHidden/>
          </w:rPr>
          <w:instrText xml:space="preserve"> PAGEREF _Toc400525431 \h </w:instrText>
        </w:r>
        <w:r w:rsidR="001D2C7E">
          <w:rPr>
            <w:noProof/>
            <w:webHidden/>
          </w:rPr>
        </w:r>
        <w:r w:rsidR="001D2C7E">
          <w:rPr>
            <w:noProof/>
            <w:webHidden/>
          </w:rPr>
          <w:fldChar w:fldCharType="separate"/>
        </w:r>
        <w:r w:rsidR="00FE0305">
          <w:rPr>
            <w:noProof/>
            <w:webHidden/>
          </w:rPr>
          <w:t>3</w:t>
        </w:r>
        <w:r w:rsidR="001D2C7E">
          <w:rPr>
            <w:noProof/>
            <w:webHidden/>
          </w:rPr>
          <w:fldChar w:fldCharType="end"/>
        </w:r>
      </w:hyperlink>
    </w:p>
    <w:p w:rsidR="001D2C7E" w:rsidRDefault="00FA3F55">
      <w:pPr>
        <w:pStyle w:val="TOC2"/>
        <w:tabs>
          <w:tab w:val="left" w:pos="880"/>
          <w:tab w:val="right" w:leader="dot" w:pos="9016"/>
        </w:tabs>
        <w:rPr>
          <w:rFonts w:asciiTheme="minorHAnsi" w:eastAsiaTheme="minorEastAsia" w:hAnsiTheme="minorHAnsi" w:cstheme="minorBidi"/>
          <w:noProof/>
          <w:lang w:val="en-NZ" w:eastAsia="en-NZ"/>
        </w:rPr>
      </w:pPr>
      <w:hyperlink w:anchor="_Toc400525432" w:history="1">
        <w:r w:rsidR="001D2C7E" w:rsidRPr="005033C6">
          <w:rPr>
            <w:rStyle w:val="Hyperlink"/>
            <w:noProof/>
          </w:rPr>
          <w:t>1.1.</w:t>
        </w:r>
        <w:r w:rsidR="001D2C7E">
          <w:rPr>
            <w:rFonts w:asciiTheme="minorHAnsi" w:eastAsiaTheme="minorEastAsia" w:hAnsiTheme="minorHAnsi" w:cstheme="minorBidi"/>
            <w:noProof/>
            <w:lang w:val="en-NZ" w:eastAsia="en-NZ"/>
          </w:rPr>
          <w:tab/>
        </w:r>
        <w:r w:rsidR="001D2C7E" w:rsidRPr="005033C6">
          <w:rPr>
            <w:rStyle w:val="Hyperlink"/>
            <w:noProof/>
          </w:rPr>
          <w:t>New Zealand Police Apprehensions 2012-2013</w:t>
        </w:r>
        <w:r w:rsidR="001D2C7E">
          <w:rPr>
            <w:noProof/>
            <w:webHidden/>
          </w:rPr>
          <w:tab/>
        </w:r>
        <w:r w:rsidR="001D2C7E">
          <w:rPr>
            <w:noProof/>
            <w:webHidden/>
          </w:rPr>
          <w:fldChar w:fldCharType="begin"/>
        </w:r>
        <w:r w:rsidR="001D2C7E">
          <w:rPr>
            <w:noProof/>
            <w:webHidden/>
          </w:rPr>
          <w:instrText xml:space="preserve"> PAGEREF _Toc400525432 \h </w:instrText>
        </w:r>
        <w:r w:rsidR="001D2C7E">
          <w:rPr>
            <w:noProof/>
            <w:webHidden/>
          </w:rPr>
        </w:r>
        <w:r w:rsidR="001D2C7E">
          <w:rPr>
            <w:noProof/>
            <w:webHidden/>
          </w:rPr>
          <w:fldChar w:fldCharType="separate"/>
        </w:r>
        <w:r w:rsidR="00FE0305">
          <w:rPr>
            <w:noProof/>
            <w:webHidden/>
          </w:rPr>
          <w:t>3</w:t>
        </w:r>
        <w:r w:rsidR="001D2C7E">
          <w:rPr>
            <w:noProof/>
            <w:webHidden/>
          </w:rPr>
          <w:fldChar w:fldCharType="end"/>
        </w:r>
      </w:hyperlink>
    </w:p>
    <w:p w:rsidR="001D2C7E" w:rsidRDefault="00FA3F55">
      <w:pPr>
        <w:pStyle w:val="TOC2"/>
        <w:tabs>
          <w:tab w:val="left" w:pos="880"/>
          <w:tab w:val="right" w:leader="dot" w:pos="9016"/>
        </w:tabs>
        <w:rPr>
          <w:rFonts w:asciiTheme="minorHAnsi" w:eastAsiaTheme="minorEastAsia" w:hAnsiTheme="minorHAnsi" w:cstheme="minorBidi"/>
          <w:noProof/>
          <w:lang w:val="en-NZ" w:eastAsia="en-NZ"/>
        </w:rPr>
      </w:pPr>
      <w:hyperlink w:anchor="_Toc400525433" w:history="1">
        <w:r w:rsidR="001D2C7E" w:rsidRPr="005033C6">
          <w:rPr>
            <w:rStyle w:val="Hyperlink"/>
            <w:noProof/>
          </w:rPr>
          <w:t>1.2.</w:t>
        </w:r>
        <w:r w:rsidR="001D2C7E">
          <w:rPr>
            <w:rFonts w:asciiTheme="minorHAnsi" w:eastAsiaTheme="minorEastAsia" w:hAnsiTheme="minorHAnsi" w:cstheme="minorBidi"/>
            <w:noProof/>
            <w:lang w:val="en-NZ" w:eastAsia="en-NZ"/>
          </w:rPr>
          <w:tab/>
        </w:r>
        <w:r w:rsidR="001D2C7E" w:rsidRPr="005033C6">
          <w:rPr>
            <w:rStyle w:val="Hyperlink"/>
            <w:noProof/>
          </w:rPr>
          <w:t>Child, Youth and Family – Youth Justice Activity 2010-2014</w:t>
        </w:r>
        <w:r w:rsidR="001D2C7E">
          <w:rPr>
            <w:noProof/>
            <w:webHidden/>
          </w:rPr>
          <w:tab/>
        </w:r>
        <w:r w:rsidR="001D2C7E">
          <w:rPr>
            <w:noProof/>
            <w:webHidden/>
          </w:rPr>
          <w:fldChar w:fldCharType="begin"/>
        </w:r>
        <w:r w:rsidR="001D2C7E">
          <w:rPr>
            <w:noProof/>
            <w:webHidden/>
          </w:rPr>
          <w:instrText xml:space="preserve"> PAGEREF _Toc400525433 \h </w:instrText>
        </w:r>
        <w:r w:rsidR="001D2C7E">
          <w:rPr>
            <w:noProof/>
            <w:webHidden/>
          </w:rPr>
        </w:r>
        <w:r w:rsidR="001D2C7E">
          <w:rPr>
            <w:noProof/>
            <w:webHidden/>
          </w:rPr>
          <w:fldChar w:fldCharType="separate"/>
        </w:r>
        <w:r w:rsidR="00FE0305">
          <w:rPr>
            <w:noProof/>
            <w:webHidden/>
          </w:rPr>
          <w:t>4</w:t>
        </w:r>
        <w:r w:rsidR="001D2C7E">
          <w:rPr>
            <w:noProof/>
            <w:webHidden/>
          </w:rPr>
          <w:fldChar w:fldCharType="end"/>
        </w:r>
      </w:hyperlink>
    </w:p>
    <w:p w:rsidR="001D2C7E" w:rsidRDefault="00FA3F55">
      <w:pPr>
        <w:pStyle w:val="TOC2"/>
        <w:tabs>
          <w:tab w:val="left" w:pos="880"/>
          <w:tab w:val="right" w:leader="dot" w:pos="9016"/>
        </w:tabs>
        <w:rPr>
          <w:rFonts w:asciiTheme="minorHAnsi" w:eastAsiaTheme="minorEastAsia" w:hAnsiTheme="minorHAnsi" w:cstheme="minorBidi"/>
          <w:noProof/>
          <w:lang w:val="en-NZ" w:eastAsia="en-NZ"/>
        </w:rPr>
      </w:pPr>
      <w:hyperlink w:anchor="_Toc400525434" w:history="1">
        <w:r w:rsidR="001D2C7E" w:rsidRPr="005033C6">
          <w:rPr>
            <w:rStyle w:val="Hyperlink"/>
            <w:noProof/>
          </w:rPr>
          <w:t>1.3.</w:t>
        </w:r>
        <w:r w:rsidR="001D2C7E">
          <w:rPr>
            <w:rFonts w:asciiTheme="minorHAnsi" w:eastAsiaTheme="minorEastAsia" w:hAnsiTheme="minorHAnsi" w:cstheme="minorBidi"/>
            <w:noProof/>
            <w:lang w:val="en-NZ" w:eastAsia="en-NZ"/>
          </w:rPr>
          <w:tab/>
        </w:r>
        <w:r w:rsidR="001D2C7E" w:rsidRPr="005033C6">
          <w:rPr>
            <w:rStyle w:val="Hyperlink"/>
            <w:noProof/>
          </w:rPr>
          <w:t>Rangatahi Court</w:t>
        </w:r>
        <w:r w:rsidR="001D2C7E">
          <w:rPr>
            <w:noProof/>
            <w:webHidden/>
          </w:rPr>
          <w:tab/>
        </w:r>
        <w:r w:rsidR="001D2C7E">
          <w:rPr>
            <w:noProof/>
            <w:webHidden/>
          </w:rPr>
          <w:fldChar w:fldCharType="begin"/>
        </w:r>
        <w:r w:rsidR="001D2C7E">
          <w:rPr>
            <w:noProof/>
            <w:webHidden/>
          </w:rPr>
          <w:instrText xml:space="preserve"> PAGEREF _Toc400525434 \h </w:instrText>
        </w:r>
        <w:r w:rsidR="001D2C7E">
          <w:rPr>
            <w:noProof/>
            <w:webHidden/>
          </w:rPr>
        </w:r>
        <w:r w:rsidR="001D2C7E">
          <w:rPr>
            <w:noProof/>
            <w:webHidden/>
          </w:rPr>
          <w:fldChar w:fldCharType="separate"/>
        </w:r>
        <w:r w:rsidR="00FE0305">
          <w:rPr>
            <w:noProof/>
            <w:webHidden/>
          </w:rPr>
          <w:t>6</w:t>
        </w:r>
        <w:r w:rsidR="001D2C7E">
          <w:rPr>
            <w:noProof/>
            <w:webHidden/>
          </w:rPr>
          <w:fldChar w:fldCharType="end"/>
        </w:r>
      </w:hyperlink>
    </w:p>
    <w:p w:rsidR="001D2C7E" w:rsidRDefault="00FA3F55">
      <w:pPr>
        <w:pStyle w:val="TOC2"/>
        <w:tabs>
          <w:tab w:val="left" w:pos="880"/>
          <w:tab w:val="right" w:leader="dot" w:pos="9016"/>
        </w:tabs>
        <w:rPr>
          <w:rFonts w:asciiTheme="minorHAnsi" w:eastAsiaTheme="minorEastAsia" w:hAnsiTheme="minorHAnsi" w:cstheme="minorBidi"/>
          <w:noProof/>
          <w:lang w:val="en-NZ" w:eastAsia="en-NZ"/>
        </w:rPr>
      </w:pPr>
      <w:hyperlink w:anchor="_Toc400525435" w:history="1">
        <w:r w:rsidR="001D2C7E" w:rsidRPr="005033C6">
          <w:rPr>
            <w:rStyle w:val="Hyperlink"/>
            <w:noProof/>
          </w:rPr>
          <w:t>1.4.</w:t>
        </w:r>
        <w:r w:rsidR="001D2C7E">
          <w:rPr>
            <w:rFonts w:asciiTheme="minorHAnsi" w:eastAsiaTheme="minorEastAsia" w:hAnsiTheme="minorHAnsi" w:cstheme="minorBidi"/>
            <w:noProof/>
            <w:lang w:val="en-NZ" w:eastAsia="en-NZ"/>
          </w:rPr>
          <w:tab/>
        </w:r>
        <w:r w:rsidR="001D2C7E" w:rsidRPr="005033C6">
          <w:rPr>
            <w:rStyle w:val="Hyperlink"/>
            <w:noProof/>
          </w:rPr>
          <w:t>Iwi Co-facilitation</w:t>
        </w:r>
        <w:r w:rsidR="001D2C7E">
          <w:rPr>
            <w:noProof/>
            <w:webHidden/>
          </w:rPr>
          <w:tab/>
        </w:r>
        <w:r w:rsidR="001D2C7E">
          <w:rPr>
            <w:noProof/>
            <w:webHidden/>
          </w:rPr>
          <w:fldChar w:fldCharType="begin"/>
        </w:r>
        <w:r w:rsidR="001D2C7E">
          <w:rPr>
            <w:noProof/>
            <w:webHidden/>
          </w:rPr>
          <w:instrText xml:space="preserve"> PAGEREF _Toc400525435 \h </w:instrText>
        </w:r>
        <w:r w:rsidR="001D2C7E">
          <w:rPr>
            <w:noProof/>
            <w:webHidden/>
          </w:rPr>
        </w:r>
        <w:r w:rsidR="001D2C7E">
          <w:rPr>
            <w:noProof/>
            <w:webHidden/>
          </w:rPr>
          <w:fldChar w:fldCharType="separate"/>
        </w:r>
        <w:r w:rsidR="00FE0305">
          <w:rPr>
            <w:noProof/>
            <w:webHidden/>
          </w:rPr>
          <w:t>7</w:t>
        </w:r>
        <w:r w:rsidR="001D2C7E">
          <w:rPr>
            <w:noProof/>
            <w:webHidden/>
          </w:rPr>
          <w:fldChar w:fldCharType="end"/>
        </w:r>
      </w:hyperlink>
    </w:p>
    <w:p w:rsidR="001D2C7E" w:rsidRDefault="00FA3F55">
      <w:pPr>
        <w:pStyle w:val="TOC1"/>
        <w:tabs>
          <w:tab w:val="left" w:pos="440"/>
          <w:tab w:val="right" w:leader="dot" w:pos="9016"/>
        </w:tabs>
        <w:rPr>
          <w:rFonts w:asciiTheme="minorHAnsi" w:eastAsiaTheme="minorEastAsia" w:hAnsiTheme="minorHAnsi" w:cstheme="minorBidi"/>
          <w:noProof/>
          <w:lang w:val="en-NZ" w:eastAsia="en-NZ"/>
        </w:rPr>
      </w:pPr>
      <w:hyperlink w:anchor="_Toc400525436" w:history="1">
        <w:r w:rsidR="001D2C7E" w:rsidRPr="005033C6">
          <w:rPr>
            <w:rStyle w:val="Hyperlink"/>
            <w:noProof/>
          </w:rPr>
          <w:t>2.</w:t>
        </w:r>
        <w:r w:rsidR="001D2C7E">
          <w:rPr>
            <w:rFonts w:asciiTheme="minorHAnsi" w:eastAsiaTheme="minorEastAsia" w:hAnsiTheme="minorHAnsi" w:cstheme="minorBidi"/>
            <w:noProof/>
            <w:lang w:val="en-NZ" w:eastAsia="en-NZ"/>
          </w:rPr>
          <w:tab/>
        </w:r>
        <w:r w:rsidR="001D2C7E" w:rsidRPr="005033C6">
          <w:rPr>
            <w:rStyle w:val="Hyperlink"/>
            <w:noProof/>
          </w:rPr>
          <w:t>Youth Justice Initiatives</w:t>
        </w:r>
        <w:r w:rsidR="001D2C7E">
          <w:rPr>
            <w:noProof/>
            <w:webHidden/>
          </w:rPr>
          <w:tab/>
        </w:r>
        <w:r w:rsidR="001D2C7E">
          <w:rPr>
            <w:noProof/>
            <w:webHidden/>
          </w:rPr>
          <w:fldChar w:fldCharType="begin"/>
        </w:r>
        <w:r w:rsidR="001D2C7E">
          <w:rPr>
            <w:noProof/>
            <w:webHidden/>
          </w:rPr>
          <w:instrText xml:space="preserve"> PAGEREF _Toc400525436 \h </w:instrText>
        </w:r>
        <w:r w:rsidR="001D2C7E">
          <w:rPr>
            <w:noProof/>
            <w:webHidden/>
          </w:rPr>
        </w:r>
        <w:r w:rsidR="001D2C7E">
          <w:rPr>
            <w:noProof/>
            <w:webHidden/>
          </w:rPr>
          <w:fldChar w:fldCharType="separate"/>
        </w:r>
        <w:r w:rsidR="00FE0305">
          <w:rPr>
            <w:noProof/>
            <w:webHidden/>
          </w:rPr>
          <w:t>8</w:t>
        </w:r>
        <w:r w:rsidR="001D2C7E">
          <w:rPr>
            <w:noProof/>
            <w:webHidden/>
          </w:rPr>
          <w:fldChar w:fldCharType="end"/>
        </w:r>
      </w:hyperlink>
    </w:p>
    <w:p w:rsidR="001D2C7E" w:rsidRDefault="00FA3F55">
      <w:pPr>
        <w:pStyle w:val="TOC2"/>
        <w:tabs>
          <w:tab w:val="left" w:pos="880"/>
          <w:tab w:val="right" w:leader="dot" w:pos="9016"/>
        </w:tabs>
        <w:rPr>
          <w:rFonts w:asciiTheme="minorHAnsi" w:eastAsiaTheme="minorEastAsia" w:hAnsiTheme="minorHAnsi" w:cstheme="minorBidi"/>
          <w:noProof/>
          <w:lang w:val="en-NZ" w:eastAsia="en-NZ"/>
        </w:rPr>
      </w:pPr>
      <w:hyperlink w:anchor="_Toc400525437" w:history="1">
        <w:r w:rsidR="001D2C7E" w:rsidRPr="005033C6">
          <w:rPr>
            <w:rStyle w:val="Hyperlink"/>
            <w:noProof/>
          </w:rPr>
          <w:t>2.1.</w:t>
        </w:r>
        <w:r w:rsidR="001D2C7E">
          <w:rPr>
            <w:rFonts w:asciiTheme="minorHAnsi" w:eastAsiaTheme="minorEastAsia" w:hAnsiTheme="minorHAnsi" w:cstheme="minorBidi"/>
            <w:noProof/>
            <w:lang w:val="en-NZ" w:eastAsia="en-NZ"/>
          </w:rPr>
          <w:tab/>
        </w:r>
        <w:r w:rsidR="001D2C7E" w:rsidRPr="005033C6">
          <w:rPr>
            <w:rStyle w:val="Hyperlink"/>
            <w:noProof/>
          </w:rPr>
          <w:t>Fresh Start</w:t>
        </w:r>
        <w:r w:rsidR="001D2C7E">
          <w:rPr>
            <w:noProof/>
            <w:webHidden/>
          </w:rPr>
          <w:tab/>
        </w:r>
        <w:r w:rsidR="001D2C7E">
          <w:rPr>
            <w:noProof/>
            <w:webHidden/>
          </w:rPr>
          <w:fldChar w:fldCharType="begin"/>
        </w:r>
        <w:r w:rsidR="001D2C7E">
          <w:rPr>
            <w:noProof/>
            <w:webHidden/>
          </w:rPr>
          <w:instrText xml:space="preserve"> PAGEREF _Toc400525437 \h </w:instrText>
        </w:r>
        <w:r w:rsidR="001D2C7E">
          <w:rPr>
            <w:noProof/>
            <w:webHidden/>
          </w:rPr>
        </w:r>
        <w:r w:rsidR="001D2C7E">
          <w:rPr>
            <w:noProof/>
            <w:webHidden/>
          </w:rPr>
          <w:fldChar w:fldCharType="separate"/>
        </w:r>
        <w:r w:rsidR="00FE0305">
          <w:rPr>
            <w:noProof/>
            <w:webHidden/>
          </w:rPr>
          <w:t>8</w:t>
        </w:r>
        <w:r w:rsidR="001D2C7E">
          <w:rPr>
            <w:noProof/>
            <w:webHidden/>
          </w:rPr>
          <w:fldChar w:fldCharType="end"/>
        </w:r>
      </w:hyperlink>
    </w:p>
    <w:p w:rsidR="001D2C7E" w:rsidRDefault="00FA3F55">
      <w:pPr>
        <w:pStyle w:val="TOC2"/>
        <w:tabs>
          <w:tab w:val="left" w:pos="880"/>
          <w:tab w:val="right" w:leader="dot" w:pos="9016"/>
        </w:tabs>
        <w:rPr>
          <w:rFonts w:asciiTheme="minorHAnsi" w:eastAsiaTheme="minorEastAsia" w:hAnsiTheme="minorHAnsi" w:cstheme="minorBidi"/>
          <w:noProof/>
          <w:lang w:val="en-NZ" w:eastAsia="en-NZ"/>
        </w:rPr>
      </w:pPr>
      <w:hyperlink w:anchor="_Toc400525438" w:history="1">
        <w:r w:rsidR="001D2C7E" w:rsidRPr="005033C6">
          <w:rPr>
            <w:rStyle w:val="Hyperlink"/>
            <w:noProof/>
          </w:rPr>
          <w:t>2.2.</w:t>
        </w:r>
        <w:r w:rsidR="001D2C7E">
          <w:rPr>
            <w:rFonts w:asciiTheme="minorHAnsi" w:eastAsiaTheme="minorEastAsia" w:hAnsiTheme="minorHAnsi" w:cstheme="minorBidi"/>
            <w:noProof/>
            <w:lang w:val="en-NZ" w:eastAsia="en-NZ"/>
          </w:rPr>
          <w:tab/>
        </w:r>
        <w:r w:rsidR="001D2C7E" w:rsidRPr="005033C6">
          <w:rPr>
            <w:rStyle w:val="Hyperlink"/>
            <w:noProof/>
          </w:rPr>
          <w:t>Reinvigorating the Youth Justice Family Group Conference</w:t>
        </w:r>
        <w:r w:rsidR="001D2C7E">
          <w:rPr>
            <w:noProof/>
            <w:webHidden/>
          </w:rPr>
          <w:tab/>
        </w:r>
        <w:r w:rsidR="001D2C7E">
          <w:rPr>
            <w:noProof/>
            <w:webHidden/>
          </w:rPr>
          <w:fldChar w:fldCharType="begin"/>
        </w:r>
        <w:r w:rsidR="001D2C7E">
          <w:rPr>
            <w:noProof/>
            <w:webHidden/>
          </w:rPr>
          <w:instrText xml:space="preserve"> PAGEREF _Toc400525438 \h </w:instrText>
        </w:r>
        <w:r w:rsidR="001D2C7E">
          <w:rPr>
            <w:noProof/>
            <w:webHidden/>
          </w:rPr>
        </w:r>
        <w:r w:rsidR="001D2C7E">
          <w:rPr>
            <w:noProof/>
            <w:webHidden/>
          </w:rPr>
          <w:fldChar w:fldCharType="separate"/>
        </w:r>
        <w:r w:rsidR="00FE0305">
          <w:rPr>
            <w:noProof/>
            <w:webHidden/>
          </w:rPr>
          <w:t>8</w:t>
        </w:r>
        <w:r w:rsidR="001D2C7E">
          <w:rPr>
            <w:noProof/>
            <w:webHidden/>
          </w:rPr>
          <w:fldChar w:fldCharType="end"/>
        </w:r>
      </w:hyperlink>
    </w:p>
    <w:p w:rsidR="001D2C7E" w:rsidRDefault="00FA3F55">
      <w:pPr>
        <w:pStyle w:val="TOC2"/>
        <w:tabs>
          <w:tab w:val="left" w:pos="880"/>
          <w:tab w:val="right" w:leader="dot" w:pos="9016"/>
        </w:tabs>
        <w:rPr>
          <w:rFonts w:asciiTheme="minorHAnsi" w:eastAsiaTheme="minorEastAsia" w:hAnsiTheme="minorHAnsi" w:cstheme="minorBidi"/>
          <w:noProof/>
          <w:lang w:val="en-NZ" w:eastAsia="en-NZ"/>
        </w:rPr>
      </w:pPr>
      <w:hyperlink w:anchor="_Toc400525439" w:history="1">
        <w:r w:rsidR="001D2C7E" w:rsidRPr="005033C6">
          <w:rPr>
            <w:rStyle w:val="Hyperlink"/>
            <w:noProof/>
          </w:rPr>
          <w:t>2.3.</w:t>
        </w:r>
        <w:r w:rsidR="001D2C7E">
          <w:rPr>
            <w:rFonts w:asciiTheme="minorHAnsi" w:eastAsiaTheme="minorEastAsia" w:hAnsiTheme="minorHAnsi" w:cstheme="minorBidi"/>
            <w:noProof/>
            <w:lang w:val="en-NZ" w:eastAsia="en-NZ"/>
          </w:rPr>
          <w:tab/>
        </w:r>
        <w:r w:rsidR="001D2C7E" w:rsidRPr="005033C6">
          <w:rPr>
            <w:rStyle w:val="Hyperlink"/>
            <w:noProof/>
          </w:rPr>
          <w:t>The Youth Crime Action Plan (YCAP)</w:t>
        </w:r>
        <w:r w:rsidR="001D2C7E">
          <w:rPr>
            <w:noProof/>
            <w:webHidden/>
          </w:rPr>
          <w:tab/>
        </w:r>
        <w:r w:rsidR="001D2C7E">
          <w:rPr>
            <w:noProof/>
            <w:webHidden/>
          </w:rPr>
          <w:fldChar w:fldCharType="begin"/>
        </w:r>
        <w:r w:rsidR="001D2C7E">
          <w:rPr>
            <w:noProof/>
            <w:webHidden/>
          </w:rPr>
          <w:instrText xml:space="preserve"> PAGEREF _Toc400525439 \h </w:instrText>
        </w:r>
        <w:r w:rsidR="001D2C7E">
          <w:rPr>
            <w:noProof/>
            <w:webHidden/>
          </w:rPr>
        </w:r>
        <w:r w:rsidR="001D2C7E">
          <w:rPr>
            <w:noProof/>
            <w:webHidden/>
          </w:rPr>
          <w:fldChar w:fldCharType="separate"/>
        </w:r>
        <w:r w:rsidR="00FE0305">
          <w:rPr>
            <w:noProof/>
            <w:webHidden/>
          </w:rPr>
          <w:t>9</w:t>
        </w:r>
        <w:r w:rsidR="001D2C7E">
          <w:rPr>
            <w:noProof/>
            <w:webHidden/>
          </w:rPr>
          <w:fldChar w:fldCharType="end"/>
        </w:r>
      </w:hyperlink>
    </w:p>
    <w:p w:rsidR="001D2C7E" w:rsidRDefault="00FA3F55">
      <w:pPr>
        <w:pStyle w:val="TOC2"/>
        <w:tabs>
          <w:tab w:val="left" w:pos="880"/>
          <w:tab w:val="right" w:leader="dot" w:pos="9016"/>
        </w:tabs>
        <w:rPr>
          <w:rFonts w:asciiTheme="minorHAnsi" w:eastAsiaTheme="minorEastAsia" w:hAnsiTheme="minorHAnsi" w:cstheme="minorBidi"/>
          <w:noProof/>
          <w:lang w:val="en-NZ" w:eastAsia="en-NZ"/>
        </w:rPr>
      </w:pPr>
      <w:hyperlink w:anchor="_Toc400525440" w:history="1">
        <w:r w:rsidR="001D2C7E" w:rsidRPr="005033C6">
          <w:rPr>
            <w:rStyle w:val="Hyperlink"/>
            <w:noProof/>
          </w:rPr>
          <w:t>2.4.</w:t>
        </w:r>
        <w:r w:rsidR="001D2C7E">
          <w:rPr>
            <w:rFonts w:asciiTheme="minorHAnsi" w:eastAsiaTheme="minorEastAsia" w:hAnsiTheme="minorHAnsi" w:cstheme="minorBidi"/>
            <w:noProof/>
            <w:lang w:val="en-NZ" w:eastAsia="en-NZ"/>
          </w:rPr>
          <w:tab/>
        </w:r>
        <w:r w:rsidR="001D2C7E" w:rsidRPr="005033C6">
          <w:rPr>
            <w:rStyle w:val="Hyperlink"/>
            <w:noProof/>
          </w:rPr>
          <w:t>The Assessment Centre</w:t>
        </w:r>
        <w:r w:rsidR="001D2C7E">
          <w:rPr>
            <w:noProof/>
            <w:webHidden/>
          </w:rPr>
          <w:tab/>
        </w:r>
        <w:r w:rsidR="001D2C7E">
          <w:rPr>
            <w:noProof/>
            <w:webHidden/>
          </w:rPr>
          <w:fldChar w:fldCharType="begin"/>
        </w:r>
        <w:r w:rsidR="001D2C7E">
          <w:rPr>
            <w:noProof/>
            <w:webHidden/>
          </w:rPr>
          <w:instrText xml:space="preserve"> PAGEREF _Toc400525440 \h </w:instrText>
        </w:r>
        <w:r w:rsidR="001D2C7E">
          <w:rPr>
            <w:noProof/>
            <w:webHidden/>
          </w:rPr>
        </w:r>
        <w:r w:rsidR="001D2C7E">
          <w:rPr>
            <w:noProof/>
            <w:webHidden/>
          </w:rPr>
          <w:fldChar w:fldCharType="separate"/>
        </w:r>
        <w:r w:rsidR="00FE0305">
          <w:rPr>
            <w:noProof/>
            <w:webHidden/>
          </w:rPr>
          <w:t>10</w:t>
        </w:r>
        <w:r w:rsidR="001D2C7E">
          <w:rPr>
            <w:noProof/>
            <w:webHidden/>
          </w:rPr>
          <w:fldChar w:fldCharType="end"/>
        </w:r>
      </w:hyperlink>
    </w:p>
    <w:p w:rsidR="001D2C7E" w:rsidRDefault="00FA3F55">
      <w:pPr>
        <w:pStyle w:val="TOC1"/>
        <w:tabs>
          <w:tab w:val="left" w:pos="440"/>
          <w:tab w:val="right" w:leader="dot" w:pos="9016"/>
        </w:tabs>
        <w:rPr>
          <w:rFonts w:asciiTheme="minorHAnsi" w:eastAsiaTheme="minorEastAsia" w:hAnsiTheme="minorHAnsi" w:cstheme="minorBidi"/>
          <w:noProof/>
          <w:lang w:val="en-NZ" w:eastAsia="en-NZ"/>
        </w:rPr>
      </w:pPr>
      <w:hyperlink w:anchor="_Toc400525441" w:history="1">
        <w:r w:rsidR="001D2C7E" w:rsidRPr="005033C6">
          <w:rPr>
            <w:rStyle w:val="Hyperlink"/>
            <w:noProof/>
          </w:rPr>
          <w:t>3.</w:t>
        </w:r>
        <w:r w:rsidR="001D2C7E">
          <w:rPr>
            <w:rFonts w:asciiTheme="minorHAnsi" w:eastAsiaTheme="minorEastAsia" w:hAnsiTheme="minorHAnsi" w:cstheme="minorBidi"/>
            <w:noProof/>
            <w:lang w:val="en-NZ" w:eastAsia="en-NZ"/>
          </w:rPr>
          <w:tab/>
        </w:r>
        <w:r w:rsidR="001D2C7E" w:rsidRPr="005033C6">
          <w:rPr>
            <w:rStyle w:val="Hyperlink"/>
            <w:noProof/>
          </w:rPr>
          <w:t>Research, Reviews and Publications</w:t>
        </w:r>
        <w:r w:rsidR="001D2C7E">
          <w:rPr>
            <w:noProof/>
            <w:webHidden/>
          </w:rPr>
          <w:tab/>
        </w:r>
        <w:r w:rsidR="001D2C7E">
          <w:rPr>
            <w:noProof/>
            <w:webHidden/>
          </w:rPr>
          <w:fldChar w:fldCharType="begin"/>
        </w:r>
        <w:r w:rsidR="001D2C7E">
          <w:rPr>
            <w:noProof/>
            <w:webHidden/>
          </w:rPr>
          <w:instrText xml:space="preserve"> PAGEREF _Toc400525441 \h </w:instrText>
        </w:r>
        <w:r w:rsidR="001D2C7E">
          <w:rPr>
            <w:noProof/>
            <w:webHidden/>
          </w:rPr>
        </w:r>
        <w:r w:rsidR="001D2C7E">
          <w:rPr>
            <w:noProof/>
            <w:webHidden/>
          </w:rPr>
          <w:fldChar w:fldCharType="separate"/>
        </w:r>
        <w:r w:rsidR="00FE0305">
          <w:rPr>
            <w:noProof/>
            <w:webHidden/>
          </w:rPr>
          <w:t>11</w:t>
        </w:r>
        <w:r w:rsidR="001D2C7E">
          <w:rPr>
            <w:noProof/>
            <w:webHidden/>
          </w:rPr>
          <w:fldChar w:fldCharType="end"/>
        </w:r>
      </w:hyperlink>
    </w:p>
    <w:p w:rsidR="001D2C7E" w:rsidRDefault="00FA3F55">
      <w:pPr>
        <w:pStyle w:val="TOC2"/>
        <w:tabs>
          <w:tab w:val="left" w:pos="880"/>
          <w:tab w:val="right" w:leader="dot" w:pos="9016"/>
        </w:tabs>
        <w:rPr>
          <w:rFonts w:asciiTheme="minorHAnsi" w:eastAsiaTheme="minorEastAsia" w:hAnsiTheme="minorHAnsi" w:cstheme="minorBidi"/>
          <w:noProof/>
          <w:lang w:val="en-NZ" w:eastAsia="en-NZ"/>
        </w:rPr>
      </w:pPr>
      <w:hyperlink w:anchor="_Toc400525442" w:history="1">
        <w:r w:rsidR="001D2C7E" w:rsidRPr="005033C6">
          <w:rPr>
            <w:rStyle w:val="Hyperlink"/>
            <w:noProof/>
          </w:rPr>
          <w:t>3.1.</w:t>
        </w:r>
        <w:r w:rsidR="001D2C7E">
          <w:rPr>
            <w:rFonts w:asciiTheme="minorHAnsi" w:eastAsiaTheme="minorEastAsia" w:hAnsiTheme="minorHAnsi" w:cstheme="minorBidi"/>
            <w:noProof/>
            <w:lang w:val="en-NZ" w:eastAsia="en-NZ"/>
          </w:rPr>
          <w:tab/>
        </w:r>
        <w:r w:rsidR="001D2C7E" w:rsidRPr="005033C6">
          <w:rPr>
            <w:rStyle w:val="Hyperlink"/>
            <w:noProof/>
          </w:rPr>
          <w:t>Latest results from the Military Activity Centre (MAC)</w:t>
        </w:r>
        <w:r w:rsidR="001D2C7E">
          <w:rPr>
            <w:noProof/>
            <w:webHidden/>
          </w:rPr>
          <w:tab/>
        </w:r>
        <w:r w:rsidR="001D2C7E">
          <w:rPr>
            <w:noProof/>
            <w:webHidden/>
          </w:rPr>
          <w:fldChar w:fldCharType="begin"/>
        </w:r>
        <w:r w:rsidR="001D2C7E">
          <w:rPr>
            <w:noProof/>
            <w:webHidden/>
          </w:rPr>
          <w:instrText xml:space="preserve"> PAGEREF _Toc400525442 \h </w:instrText>
        </w:r>
        <w:r w:rsidR="001D2C7E">
          <w:rPr>
            <w:noProof/>
            <w:webHidden/>
          </w:rPr>
        </w:r>
        <w:r w:rsidR="001D2C7E">
          <w:rPr>
            <w:noProof/>
            <w:webHidden/>
          </w:rPr>
          <w:fldChar w:fldCharType="separate"/>
        </w:r>
        <w:r w:rsidR="00FE0305">
          <w:rPr>
            <w:noProof/>
            <w:webHidden/>
          </w:rPr>
          <w:t>11</w:t>
        </w:r>
        <w:r w:rsidR="001D2C7E">
          <w:rPr>
            <w:noProof/>
            <w:webHidden/>
          </w:rPr>
          <w:fldChar w:fldCharType="end"/>
        </w:r>
      </w:hyperlink>
    </w:p>
    <w:p w:rsidR="001D2C7E" w:rsidRDefault="00FA3F55">
      <w:pPr>
        <w:pStyle w:val="TOC1"/>
        <w:tabs>
          <w:tab w:val="left" w:pos="440"/>
          <w:tab w:val="right" w:leader="dot" w:pos="9016"/>
        </w:tabs>
        <w:rPr>
          <w:rFonts w:asciiTheme="minorHAnsi" w:eastAsiaTheme="minorEastAsia" w:hAnsiTheme="minorHAnsi" w:cstheme="minorBidi"/>
          <w:noProof/>
          <w:lang w:val="en-NZ" w:eastAsia="en-NZ"/>
        </w:rPr>
      </w:pPr>
      <w:hyperlink w:anchor="_Toc400525443" w:history="1">
        <w:r w:rsidR="001D2C7E" w:rsidRPr="005033C6">
          <w:rPr>
            <w:rStyle w:val="Hyperlink"/>
            <w:noProof/>
          </w:rPr>
          <w:t>4.</w:t>
        </w:r>
        <w:r w:rsidR="001D2C7E">
          <w:rPr>
            <w:rFonts w:asciiTheme="minorHAnsi" w:eastAsiaTheme="minorEastAsia" w:hAnsiTheme="minorHAnsi" w:cstheme="minorBidi"/>
            <w:noProof/>
            <w:lang w:val="en-NZ" w:eastAsia="en-NZ"/>
          </w:rPr>
          <w:tab/>
        </w:r>
        <w:r w:rsidR="001D2C7E" w:rsidRPr="005033C6">
          <w:rPr>
            <w:rStyle w:val="Hyperlink"/>
            <w:noProof/>
          </w:rPr>
          <w:t>Key Positions and Contact Numbers</w:t>
        </w:r>
        <w:r w:rsidR="001D2C7E">
          <w:rPr>
            <w:noProof/>
            <w:webHidden/>
          </w:rPr>
          <w:tab/>
        </w:r>
        <w:r w:rsidR="001D2C7E">
          <w:rPr>
            <w:noProof/>
            <w:webHidden/>
          </w:rPr>
          <w:fldChar w:fldCharType="begin"/>
        </w:r>
        <w:r w:rsidR="001D2C7E">
          <w:rPr>
            <w:noProof/>
            <w:webHidden/>
          </w:rPr>
          <w:instrText xml:space="preserve"> PAGEREF _Toc400525443 \h </w:instrText>
        </w:r>
        <w:r w:rsidR="001D2C7E">
          <w:rPr>
            <w:noProof/>
            <w:webHidden/>
          </w:rPr>
        </w:r>
        <w:r w:rsidR="001D2C7E">
          <w:rPr>
            <w:noProof/>
            <w:webHidden/>
          </w:rPr>
          <w:fldChar w:fldCharType="separate"/>
        </w:r>
        <w:r w:rsidR="00FE0305">
          <w:rPr>
            <w:noProof/>
            <w:webHidden/>
          </w:rPr>
          <w:t>12</w:t>
        </w:r>
        <w:r w:rsidR="001D2C7E">
          <w:rPr>
            <w:noProof/>
            <w:webHidden/>
          </w:rPr>
          <w:fldChar w:fldCharType="end"/>
        </w:r>
      </w:hyperlink>
    </w:p>
    <w:p w:rsidR="00AD6774" w:rsidRDefault="008379D8">
      <w:r>
        <w:fldChar w:fldCharType="end"/>
      </w:r>
    </w:p>
    <w:p w:rsidR="006C41E5" w:rsidRDefault="00AD6774" w:rsidP="002A516E">
      <w:pPr>
        <w:spacing w:after="0" w:line="240" w:lineRule="auto"/>
      </w:pPr>
      <w:r>
        <w:br w:type="page"/>
      </w:r>
    </w:p>
    <w:p w:rsidR="006C41E5" w:rsidRDefault="00390670" w:rsidP="009112C1">
      <w:pPr>
        <w:pStyle w:val="Heading1"/>
        <w:numPr>
          <w:ilvl w:val="0"/>
          <w:numId w:val="1"/>
        </w:numPr>
      </w:pPr>
      <w:bookmarkStart w:id="1" w:name="_Toc400525431"/>
      <w:r>
        <w:lastRenderedPageBreak/>
        <w:t>New Zealand</w:t>
      </w:r>
      <w:r w:rsidR="006C41E5">
        <w:t xml:space="preserve"> Youth Justice Statistics</w:t>
      </w:r>
      <w:bookmarkEnd w:id="1"/>
    </w:p>
    <w:p w:rsidR="00355713" w:rsidRDefault="00355713" w:rsidP="00355713">
      <w:pPr>
        <w:pStyle w:val="PlainText"/>
      </w:pPr>
    </w:p>
    <w:p w:rsidR="00355713" w:rsidRPr="00355713" w:rsidRDefault="00355713" w:rsidP="00355713">
      <w:pPr>
        <w:pStyle w:val="PlainText"/>
        <w:rPr>
          <w:rFonts w:asciiTheme="minorHAnsi" w:hAnsiTheme="minorHAnsi" w:cstheme="minorHAnsi"/>
        </w:rPr>
      </w:pPr>
      <w:r w:rsidRPr="00355713">
        <w:rPr>
          <w:rFonts w:asciiTheme="minorHAnsi" w:hAnsiTheme="minorHAnsi" w:cstheme="minorHAnsi"/>
        </w:rPr>
        <w:t>Youth crime in New Zealand as identified through all key indicators, apprehensions by Police, referrals to Family Group Conference, young people appearing in court, and those receiving high end court orders, continues to decline.  This has been the pattern for the last 3 years.  In 2012 Government set a target of reducing youth crime by 25% by 2017 and this has already been exceeded with crime down 30%. This includes all categories of crime except serious violence where there has been a marginal increase.  A new target is expected to be set in the near future.</w:t>
      </w:r>
    </w:p>
    <w:p w:rsidR="00355713" w:rsidRPr="00355713" w:rsidRDefault="00355713" w:rsidP="00355713">
      <w:pPr>
        <w:pStyle w:val="PlainText"/>
        <w:rPr>
          <w:rFonts w:asciiTheme="minorHAnsi" w:hAnsiTheme="minorHAnsi" w:cstheme="minorHAnsi"/>
        </w:rPr>
      </w:pPr>
    </w:p>
    <w:p w:rsidR="00355713" w:rsidRPr="00355713" w:rsidRDefault="00355713" w:rsidP="00355713">
      <w:pPr>
        <w:pStyle w:val="PlainText"/>
        <w:rPr>
          <w:rFonts w:asciiTheme="minorHAnsi" w:hAnsiTheme="minorHAnsi" w:cstheme="minorHAnsi"/>
        </w:rPr>
      </w:pPr>
      <w:r w:rsidRPr="00355713">
        <w:rPr>
          <w:rFonts w:asciiTheme="minorHAnsi" w:hAnsiTheme="minorHAnsi" w:cstheme="minorHAnsi"/>
        </w:rPr>
        <w:t xml:space="preserve">The data used in this report is a combination of Police apprehensions and Child Youth and Family operational data. In addition the Ministry of Justice provide another set of data based on their own parameters. Because of this we are unable to present a 'single client view' or to provide data based on understanding the progress and outcomes for individuals as the pass through the Juvenile Justice system. This is a known problem and is currently being worked on as part of the Youth Crime Action Plan. From 1July 2014 the first iteration of an integrated minimum data set should be available. </w:t>
      </w:r>
    </w:p>
    <w:p w:rsidR="00355713" w:rsidRPr="00687CE5" w:rsidRDefault="00355713" w:rsidP="00687CE5"/>
    <w:p w:rsidR="006C41E5" w:rsidRDefault="00390670" w:rsidP="009112C1">
      <w:pPr>
        <w:pStyle w:val="Heading2"/>
        <w:numPr>
          <w:ilvl w:val="1"/>
          <w:numId w:val="1"/>
        </w:numPr>
      </w:pPr>
      <w:r>
        <w:t xml:space="preserve"> </w:t>
      </w:r>
      <w:bookmarkStart w:id="2" w:name="_Toc400525432"/>
      <w:r>
        <w:t>New Zealand Police Apprehensions 2012-2013</w:t>
      </w:r>
      <w:bookmarkEnd w:id="2"/>
    </w:p>
    <w:p w:rsidR="00390670" w:rsidRDefault="00EF6F93" w:rsidP="009112C1">
      <w:r>
        <w:rPr>
          <w:noProof/>
          <w:lang w:eastAsia="en-AU"/>
        </w:rPr>
        <mc:AlternateContent>
          <mc:Choice Requires="wps">
            <w:drawing>
              <wp:anchor distT="0" distB="0" distL="114300" distR="114300" simplePos="0" relativeHeight="251663360" behindDoc="0" locked="0" layoutInCell="1" allowOverlap="1" wp14:anchorId="4CE7955A" wp14:editId="6B598D56">
                <wp:simplePos x="0" y="0"/>
                <wp:positionH relativeFrom="column">
                  <wp:posOffset>4057650</wp:posOffset>
                </wp:positionH>
                <wp:positionV relativeFrom="paragraph">
                  <wp:posOffset>1281430</wp:posOffset>
                </wp:positionV>
                <wp:extent cx="476250" cy="321310"/>
                <wp:effectExtent l="0" t="0" r="0" b="2540"/>
                <wp:wrapNone/>
                <wp:docPr id="4"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3213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24%</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319.5pt;margin-top:100.9pt;width:37.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" filled="f" stroked="f">
                <v:path arrowok="t"/>
                <v:textbo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24%</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34CCA6E3" wp14:editId="2A2B28EF">
                <wp:simplePos x="0" y="0"/>
                <wp:positionH relativeFrom="column">
                  <wp:posOffset>3308350</wp:posOffset>
                </wp:positionH>
                <wp:positionV relativeFrom="paragraph">
                  <wp:posOffset>690245</wp:posOffset>
                </wp:positionV>
                <wp:extent cx="476250" cy="260350"/>
                <wp:effectExtent l="0" t="0" r="0" b="6350"/>
                <wp:wrapNone/>
                <wp:docPr id="6"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2603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2%</w:t>
                            </w:r>
                          </w:p>
                        </w:txbxContent>
                      </wps:txbx>
                      <wps:bodyPr vertOverflow="overflow" horzOverflow="overflow" wrap="square" rtlCol="0" anchor="t">
                        <a:noAutofit/>
                      </wps:bodyPr>
                    </wps:wsp>
                  </a:graphicData>
                </a:graphic>
                <wp14:sizeRelH relativeFrom="page">
                  <wp14:pctWidth>0</wp14:pctWidth>
                </wp14:sizeRelH>
                <wp14:sizeRelV relativeFrom="page">
                  <wp14:pctHeight>0</wp14:pctHeight>
                </wp14:sizeRelV>
              </wp:anchor>
            </w:drawing>
          </mc:Choice>
          <mc:Fallback>
            <w:pict>
              <v:shape id="TextBox 10" o:spid="_x0000_s1027" type="#_x0000_t202" style="position:absolute;margin-left:260.5pt;margin-top:54.35pt;width:37.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" filled="f" stroked="f">
                <v:path arrowok="t"/>
                <v:textbo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2%</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54CE23D4" wp14:editId="03414F0A">
                <wp:simplePos x="0" y="0"/>
                <wp:positionH relativeFrom="column">
                  <wp:posOffset>3467100</wp:posOffset>
                </wp:positionH>
                <wp:positionV relativeFrom="paragraph">
                  <wp:posOffset>2369820</wp:posOffset>
                </wp:positionV>
                <wp:extent cx="476250" cy="321310"/>
                <wp:effectExtent l="0" t="0" r="0" b="2540"/>
                <wp:wrapNone/>
                <wp:docPr id="3"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3213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24%</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 id="TextBox 7" o:spid="_x0000_s1028" type="#_x0000_t202" style="position:absolute;margin-left:273pt;margin-top:186.6pt;width:37.5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" filled="f" stroked="f">
                <v:path arrowok="t"/>
                <v:textbo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24%</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7B81EFFF" wp14:editId="42E100C6">
                <wp:simplePos x="0" y="0"/>
                <wp:positionH relativeFrom="column">
                  <wp:posOffset>889000</wp:posOffset>
                </wp:positionH>
                <wp:positionV relativeFrom="paragraph">
                  <wp:posOffset>1487170</wp:posOffset>
                </wp:positionV>
                <wp:extent cx="476250" cy="321310"/>
                <wp:effectExtent l="0" t="0" r="0" b="2540"/>
                <wp:wrapNone/>
                <wp:docPr id="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3213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46%</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 id="TextBox 6" o:spid="_x0000_s1029" type="#_x0000_t202" style="position:absolute;margin-left:70pt;margin-top:117.1pt;width:37.5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" filled="f" stroked="f">
                <v:path arrowok="t"/>
                <v:textbo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46%</w:t>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5F733AE7" wp14:editId="62A79DE9">
                <wp:simplePos x="0" y="0"/>
                <wp:positionH relativeFrom="column">
                  <wp:posOffset>2762250</wp:posOffset>
                </wp:positionH>
                <wp:positionV relativeFrom="paragraph">
                  <wp:posOffset>900430</wp:posOffset>
                </wp:positionV>
                <wp:extent cx="476250" cy="321310"/>
                <wp:effectExtent l="0" t="0" r="0" b="2540"/>
                <wp:wrapNone/>
                <wp:docPr id="5"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3213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4%</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 id="TextBox 9" o:spid="_x0000_s1030" type="#_x0000_t202" style="position:absolute;margin-left:217.5pt;margin-top:70.9pt;width:37.5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" filled="f" stroked="f">
                <v:path arrowok="t"/>
                <v:textbox>
                  <w:txbxContent>
                    <w:p w:rsidR="00390670" w:rsidRDefault="00390670" w:rsidP="00390670">
                      <w:pPr>
                        <w:pStyle w:val="NormalWeb"/>
                        <w:spacing w:before="0" w:beforeAutospacing="0" w:after="0" w:afterAutospacing="0"/>
                      </w:pPr>
                      <w:r w:rsidRPr="00390670">
                        <w:rPr>
                          <w:rFonts w:asciiTheme="minorHAnsi" w:hAnsi="Calibri" w:cstheme="minorBidi"/>
                          <w:b/>
                          <w:bCs/>
                          <w:color w:val="000000" w:themeColor="dark1"/>
                          <w:sz w:val="22"/>
                          <w:szCs w:val="22"/>
                        </w:rPr>
                        <w:t>4%</w:t>
                      </w:r>
                    </w:p>
                  </w:txbxContent>
                </v:textbox>
              </v:shape>
            </w:pict>
          </mc:Fallback>
        </mc:AlternateContent>
      </w:r>
      <w:r>
        <w:rPr>
          <w:noProof/>
          <w:lang w:eastAsia="en-AU"/>
        </w:rPr>
        <w:drawing>
          <wp:inline distT="0" distB="0" distL="0" distR="0" wp14:anchorId="5361E65C" wp14:editId="6DCF34C8">
            <wp:extent cx="5731510" cy="3836315"/>
            <wp:effectExtent l="0" t="0" r="2159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0670" w:rsidRPr="00713E9E" w:rsidRDefault="00755A28" w:rsidP="00350FB9">
      <w:pPr>
        <w:jc w:val="both"/>
        <w:rPr>
          <w:noProof/>
          <w:lang w:val="en-NZ" w:eastAsia="en-NZ"/>
        </w:rPr>
      </w:pPr>
      <w:r w:rsidRPr="00713E9E">
        <w:t>A total of 27,219 apprehensions for</w:t>
      </w:r>
      <w:r w:rsidR="00390670" w:rsidRPr="00713E9E">
        <w:t xml:space="preserve"> </w:t>
      </w:r>
      <w:r w:rsidRPr="00713E9E">
        <w:t xml:space="preserve">10-16 year old age-group in </w:t>
      </w:r>
      <w:r w:rsidR="00390670" w:rsidRPr="00713E9E">
        <w:t>2012-2013</w:t>
      </w:r>
      <w:r w:rsidRPr="00713E9E">
        <w:t>, a de</w:t>
      </w:r>
      <w:r w:rsidR="008E6EC1" w:rsidRPr="00713E9E">
        <w:t>crease</w:t>
      </w:r>
      <w:r w:rsidRPr="00713E9E">
        <w:t xml:space="preserve"> from the</w:t>
      </w:r>
      <w:r w:rsidR="00390670" w:rsidRPr="00713E9E">
        <w:t xml:space="preserve"> total </w:t>
      </w:r>
      <w:r w:rsidRPr="00713E9E">
        <w:t>of</w:t>
      </w:r>
      <w:r w:rsidR="00390670" w:rsidRPr="00713E9E">
        <w:t xml:space="preserve"> 32,581 in 2011-2012.</w:t>
      </w:r>
      <w:r w:rsidR="00390670" w:rsidRPr="00713E9E">
        <w:rPr>
          <w:noProof/>
          <w:lang w:val="en-NZ" w:eastAsia="en-NZ"/>
        </w:rPr>
        <w:t xml:space="preserve"> </w:t>
      </w:r>
    </w:p>
    <w:p w:rsidR="00355713" w:rsidRPr="00355713" w:rsidRDefault="00355713" w:rsidP="00355713">
      <w:pPr>
        <w:pStyle w:val="PlainText"/>
        <w:rPr>
          <w:rFonts w:asciiTheme="minorHAnsi" w:hAnsiTheme="minorHAnsi" w:cstheme="minorHAnsi"/>
        </w:rPr>
      </w:pPr>
      <w:r w:rsidRPr="00355713">
        <w:rPr>
          <w:rFonts w:asciiTheme="minorHAnsi" w:hAnsiTheme="minorHAnsi" w:cstheme="minorHAnsi"/>
        </w:rPr>
        <w:t xml:space="preserve">A total of 27,641 (46%) of apprehensions were resolved through Police Youth Aid diversionary intervention (Alternative Action). While the overall number of apprehensions has decreased compared to the previous year, the percentage resolved by alternative action has actually increased.  A further 24% were resolved by way of Police cautions and warnings. </w:t>
      </w:r>
    </w:p>
    <w:p w:rsidR="008E6EC1" w:rsidRPr="00713E9E" w:rsidRDefault="008E6EC1" w:rsidP="00350FB9">
      <w:pPr>
        <w:jc w:val="both"/>
        <w:rPr>
          <w:noProof/>
          <w:lang w:val="en-NZ" w:eastAsia="en-NZ"/>
        </w:rPr>
      </w:pPr>
      <w:r w:rsidRPr="00713E9E">
        <w:rPr>
          <w:noProof/>
          <w:lang w:val="en-NZ" w:eastAsia="en-NZ"/>
        </w:rPr>
        <w:lastRenderedPageBreak/>
        <w:t>A total of 6,482 or 24 per cent were Warned or Cautioned, a decrease from 8,009 which represented 25 per cent in 2011-2012.</w:t>
      </w:r>
    </w:p>
    <w:p w:rsidR="00CC531D" w:rsidRPr="00713E9E" w:rsidRDefault="006165A1" w:rsidP="00350FB9">
      <w:pPr>
        <w:jc w:val="both"/>
        <w:rPr>
          <w:noProof/>
          <w:lang w:val="en-NZ" w:eastAsia="en-NZ"/>
        </w:rPr>
      </w:pPr>
      <w:r w:rsidRPr="00355713">
        <w:rPr>
          <w:noProof/>
          <w:lang w:val="en-NZ" w:eastAsia="en-NZ"/>
        </w:rPr>
        <w:t>Note that the Police record that only</w:t>
      </w:r>
      <w:r w:rsidR="00BD3189" w:rsidRPr="00355713">
        <w:rPr>
          <w:noProof/>
          <w:lang w:val="en-NZ" w:eastAsia="en-NZ"/>
        </w:rPr>
        <w:t xml:space="preserve"> </w:t>
      </w:r>
      <w:r w:rsidR="008E6EC1" w:rsidRPr="00355713">
        <w:rPr>
          <w:noProof/>
          <w:lang w:val="en-NZ" w:eastAsia="en-NZ"/>
        </w:rPr>
        <w:t xml:space="preserve">1,127 or 4 per cent </w:t>
      </w:r>
      <w:r w:rsidRPr="00355713">
        <w:rPr>
          <w:noProof/>
          <w:lang w:val="en-NZ" w:eastAsia="en-NZ"/>
        </w:rPr>
        <w:t xml:space="preserve">of youth apprehensions were resolved through a </w:t>
      </w:r>
      <w:r w:rsidR="008E6EC1" w:rsidRPr="00355713">
        <w:rPr>
          <w:noProof/>
          <w:lang w:val="en-NZ" w:eastAsia="en-NZ"/>
        </w:rPr>
        <w:t>Youth Justice Family Group Conference.</w:t>
      </w:r>
      <w:r w:rsidRPr="00355713">
        <w:rPr>
          <w:noProof/>
          <w:lang w:val="en-NZ" w:eastAsia="en-NZ"/>
        </w:rPr>
        <w:t xml:space="preserve"> That figure excludes Youth Justice Family Group Conferences referred to Child, Youth and Family following arrest, or charges being laid</w:t>
      </w:r>
      <w:r w:rsidR="00BD3189" w:rsidRPr="00355713">
        <w:rPr>
          <w:noProof/>
          <w:lang w:val="en-NZ" w:eastAsia="en-NZ"/>
        </w:rPr>
        <w:t>. It also does not capture pre-</w:t>
      </w:r>
      <w:r w:rsidRPr="00355713">
        <w:rPr>
          <w:noProof/>
          <w:lang w:val="en-NZ" w:eastAsia="en-NZ"/>
        </w:rPr>
        <w:t xml:space="preserve">court </w:t>
      </w:r>
      <w:r w:rsidR="00DC5BBE" w:rsidRPr="00355713">
        <w:rPr>
          <w:noProof/>
          <w:lang w:val="en-NZ" w:eastAsia="en-NZ"/>
        </w:rPr>
        <w:t>Family Group Conference referrals where the offence was not resolved, and charges were subsequently laid at Youth Court.</w:t>
      </w:r>
      <w:r w:rsidRPr="00355713">
        <w:rPr>
          <w:noProof/>
          <w:lang w:val="en-NZ" w:eastAsia="en-NZ"/>
        </w:rPr>
        <w:t xml:space="preserve"> </w:t>
      </w:r>
      <w:r w:rsidR="00DC5BBE" w:rsidRPr="00355713">
        <w:rPr>
          <w:noProof/>
          <w:lang w:val="en-NZ" w:eastAsia="en-NZ"/>
        </w:rPr>
        <w:t>Police figures under report</w:t>
      </w:r>
      <w:r w:rsidRPr="00355713">
        <w:rPr>
          <w:noProof/>
          <w:lang w:val="en-NZ" w:eastAsia="en-NZ"/>
        </w:rPr>
        <w:t xml:space="preserve"> Youth Justice Family Group Conferencing activity, which is better captured</w:t>
      </w:r>
      <w:r w:rsidR="00DC5BBE" w:rsidRPr="00355713">
        <w:rPr>
          <w:noProof/>
          <w:lang w:val="en-NZ" w:eastAsia="en-NZ"/>
        </w:rPr>
        <w:t xml:space="preserve"> by Child, Youth and Family data below.</w:t>
      </w:r>
    </w:p>
    <w:p w:rsidR="006C41E5" w:rsidRDefault="00390670" w:rsidP="009112C1">
      <w:pPr>
        <w:pStyle w:val="Heading2"/>
        <w:numPr>
          <w:ilvl w:val="1"/>
          <w:numId w:val="1"/>
        </w:numPr>
      </w:pPr>
      <w:bookmarkStart w:id="3" w:name="_Toc400525433"/>
      <w:r>
        <w:t>Child, Youth and Family – Youth Justice Activity 2</w:t>
      </w:r>
      <w:r w:rsidR="00350FB9">
        <w:t>010</w:t>
      </w:r>
      <w:r>
        <w:t>-201</w:t>
      </w:r>
      <w:r w:rsidR="003B600B">
        <w:t>4</w:t>
      </w:r>
      <w:bookmarkEnd w:id="3"/>
    </w:p>
    <w:p w:rsidR="00B07EC3" w:rsidRPr="00713E9E" w:rsidRDefault="00D10B4D" w:rsidP="00350FB9">
      <w:pPr>
        <w:jc w:val="both"/>
        <w:rPr>
          <w:noProof/>
          <w:lang w:val="en-NZ" w:eastAsia="en-NZ"/>
        </w:rPr>
      </w:pPr>
      <w:r w:rsidRPr="00713E9E">
        <w:rPr>
          <w:noProof/>
          <w:lang w:val="en-NZ" w:eastAsia="en-NZ"/>
        </w:rPr>
        <w:t>Official statistics from S</w:t>
      </w:r>
      <w:r w:rsidR="003B600B">
        <w:rPr>
          <w:noProof/>
          <w:lang w:val="en-NZ" w:eastAsia="en-NZ"/>
        </w:rPr>
        <w:t>tatistics New Zealand report 408,969</w:t>
      </w:r>
      <w:r w:rsidRPr="00713E9E">
        <w:rPr>
          <w:noProof/>
          <w:lang w:val="en-NZ" w:eastAsia="en-NZ"/>
        </w:rPr>
        <w:t xml:space="preserve"> children and young people (10-16 old po</w:t>
      </w:r>
      <w:r w:rsidR="003B600B">
        <w:rPr>
          <w:noProof/>
          <w:lang w:val="en-NZ" w:eastAsia="en-NZ"/>
        </w:rPr>
        <w:t>pulation) in New Zealand in 2013-2014</w:t>
      </w:r>
      <w:r w:rsidRPr="00713E9E">
        <w:rPr>
          <w:noProof/>
          <w:lang w:val="en-NZ" w:eastAsia="en-NZ"/>
        </w:rPr>
        <w:t xml:space="preserve">. </w:t>
      </w:r>
      <w:r w:rsidR="003B600B">
        <w:rPr>
          <w:noProof/>
          <w:lang w:val="en-NZ" w:eastAsia="en-NZ"/>
        </w:rPr>
        <w:t xml:space="preserve">Although </w:t>
      </w:r>
      <w:r w:rsidRPr="00713E9E">
        <w:rPr>
          <w:noProof/>
          <w:lang w:val="en-NZ" w:eastAsia="en-NZ"/>
        </w:rPr>
        <w:t xml:space="preserve">New Zealand </w:t>
      </w:r>
      <w:r w:rsidR="003B600B">
        <w:rPr>
          <w:noProof/>
          <w:lang w:val="en-NZ" w:eastAsia="en-NZ"/>
        </w:rPr>
        <w:t>experienced a continued</w:t>
      </w:r>
      <w:r w:rsidRPr="00713E9E">
        <w:rPr>
          <w:noProof/>
          <w:lang w:val="en-NZ" w:eastAsia="en-NZ"/>
        </w:rPr>
        <w:t xml:space="preserve"> decline</w:t>
      </w:r>
      <w:r w:rsidR="003B600B">
        <w:rPr>
          <w:noProof/>
          <w:lang w:val="en-NZ" w:eastAsia="en-NZ"/>
        </w:rPr>
        <w:t xml:space="preserve"> for this age group population from 2010 to 2013, </w:t>
      </w:r>
      <w:r w:rsidRPr="00713E9E">
        <w:rPr>
          <w:noProof/>
          <w:lang w:val="en-NZ" w:eastAsia="en-NZ"/>
        </w:rPr>
        <w:t>this age group population</w:t>
      </w:r>
      <w:r w:rsidR="003B600B">
        <w:rPr>
          <w:noProof/>
          <w:lang w:val="en-NZ" w:eastAsia="en-NZ"/>
        </w:rPr>
        <w:t xml:space="preserve"> experienced an increase of 1 per cent to a total of 408,969 in 2014</w:t>
      </w:r>
      <w:r w:rsidRPr="00713E9E">
        <w:rPr>
          <w:noProof/>
          <w:lang w:val="en-NZ" w:eastAsia="en-NZ"/>
        </w:rPr>
        <w:t>.</w:t>
      </w:r>
    </w:p>
    <w:p w:rsidR="00D10B4D" w:rsidRPr="00713E9E" w:rsidRDefault="00D10B4D" w:rsidP="00350FB9">
      <w:pPr>
        <w:jc w:val="both"/>
        <w:rPr>
          <w:noProof/>
          <w:lang w:val="en-NZ" w:eastAsia="en-NZ"/>
        </w:rPr>
      </w:pPr>
      <w:r w:rsidRPr="00713E9E">
        <w:rPr>
          <w:noProof/>
          <w:lang w:val="en-NZ" w:eastAsia="en-NZ"/>
        </w:rPr>
        <w:t>Youth Justice Family Group Conference Referrals to Child</w:t>
      </w:r>
      <w:r w:rsidR="003B600B">
        <w:rPr>
          <w:noProof/>
          <w:lang w:val="en-NZ" w:eastAsia="en-NZ"/>
        </w:rPr>
        <w:t>, Youth and Family declined by 3</w:t>
      </w:r>
      <w:r w:rsidRPr="00713E9E">
        <w:rPr>
          <w:noProof/>
          <w:lang w:val="en-NZ" w:eastAsia="en-NZ"/>
        </w:rPr>
        <w:t>0 per</w:t>
      </w:r>
      <w:r w:rsidR="003B600B">
        <w:rPr>
          <w:noProof/>
          <w:lang w:val="en-NZ" w:eastAsia="en-NZ"/>
        </w:rPr>
        <w:t xml:space="preserve"> cent between</w:t>
      </w:r>
      <w:r w:rsidR="00DC5BBE">
        <w:rPr>
          <w:noProof/>
          <w:lang w:val="en-NZ" w:eastAsia="en-NZ"/>
        </w:rPr>
        <w:t xml:space="preserve"> the</w:t>
      </w:r>
      <w:r w:rsidR="003B600B">
        <w:rPr>
          <w:noProof/>
          <w:lang w:val="en-NZ" w:eastAsia="en-NZ"/>
        </w:rPr>
        <w:t xml:space="preserve"> 2009-2010 and 2013-2014</w:t>
      </w:r>
      <w:r w:rsidRPr="00713E9E">
        <w:rPr>
          <w:noProof/>
          <w:lang w:val="en-NZ" w:eastAsia="en-NZ"/>
        </w:rPr>
        <w:t xml:space="preserve"> financial years. This has resulted in fewer Youth Justice Family </w:t>
      </w:r>
      <w:r w:rsidR="00FF70C6">
        <w:rPr>
          <w:noProof/>
          <w:lang w:val="en-NZ" w:eastAsia="en-NZ"/>
        </w:rPr>
        <w:t>Group Conferences held in 201</w:t>
      </w:r>
      <w:r w:rsidR="003B600B">
        <w:rPr>
          <w:noProof/>
          <w:lang w:val="en-NZ" w:eastAsia="en-NZ"/>
        </w:rPr>
        <w:t>3-2014, a 32</w:t>
      </w:r>
      <w:r w:rsidR="00FF70C6">
        <w:rPr>
          <w:noProof/>
          <w:lang w:val="en-NZ" w:eastAsia="en-NZ"/>
        </w:rPr>
        <w:t xml:space="preserve"> per cent reduction from 2009</w:t>
      </w:r>
      <w:r w:rsidR="003B600B">
        <w:rPr>
          <w:noProof/>
          <w:lang w:val="en-NZ" w:eastAsia="en-NZ"/>
        </w:rPr>
        <w:t>-201</w:t>
      </w:r>
      <w:r w:rsidR="00FF70C6">
        <w:rPr>
          <w:noProof/>
          <w:lang w:val="en-NZ" w:eastAsia="en-NZ"/>
        </w:rPr>
        <w:t>0</w:t>
      </w:r>
      <w:r w:rsidR="003B600B">
        <w:rPr>
          <w:noProof/>
          <w:lang w:val="en-NZ" w:eastAsia="en-NZ"/>
        </w:rPr>
        <w:t>. In 2013-2014</w:t>
      </w:r>
      <w:r w:rsidRPr="00713E9E">
        <w:rPr>
          <w:noProof/>
          <w:lang w:val="en-NZ" w:eastAsia="en-NZ"/>
        </w:rPr>
        <w:t xml:space="preserve"> there </w:t>
      </w:r>
      <w:r w:rsidRPr="000F4D71">
        <w:rPr>
          <w:noProof/>
          <w:lang w:val="en-NZ" w:eastAsia="en-NZ"/>
        </w:rPr>
        <w:t xml:space="preserve">were </w:t>
      </w:r>
      <w:r w:rsidR="000F4D71" w:rsidRPr="000F4D71">
        <w:rPr>
          <w:noProof/>
          <w:lang w:val="en-NZ" w:eastAsia="en-NZ"/>
        </w:rPr>
        <w:t>2,798</w:t>
      </w:r>
      <w:r w:rsidRPr="000F4D71">
        <w:rPr>
          <w:noProof/>
          <w:lang w:val="en-NZ" w:eastAsia="en-NZ"/>
        </w:rPr>
        <w:t xml:space="preserve"> distinct</w:t>
      </w:r>
      <w:r w:rsidRPr="00713E9E">
        <w:rPr>
          <w:noProof/>
          <w:lang w:val="en-NZ" w:eastAsia="en-NZ"/>
        </w:rPr>
        <w:t xml:space="preserve"> clients</w:t>
      </w:r>
      <w:r w:rsidR="00DC5BBE">
        <w:rPr>
          <w:noProof/>
          <w:lang w:val="en-NZ" w:eastAsia="en-NZ"/>
        </w:rPr>
        <w:t xml:space="preserve"> referred for a Youth Justice Family Group Conference</w:t>
      </w:r>
      <w:r w:rsidRPr="00713E9E">
        <w:rPr>
          <w:noProof/>
          <w:lang w:val="en-NZ" w:eastAsia="en-NZ"/>
        </w:rPr>
        <w:t xml:space="preserve">, </w:t>
      </w:r>
      <w:r w:rsidRPr="000F4D71">
        <w:rPr>
          <w:noProof/>
          <w:lang w:val="en-NZ" w:eastAsia="en-NZ"/>
        </w:rPr>
        <w:t xml:space="preserve">a </w:t>
      </w:r>
      <w:r w:rsidR="000F4D71" w:rsidRPr="000F4D71">
        <w:rPr>
          <w:noProof/>
          <w:lang w:val="en-NZ" w:eastAsia="en-NZ"/>
        </w:rPr>
        <w:t>34</w:t>
      </w:r>
      <w:r w:rsidRPr="00713E9E">
        <w:rPr>
          <w:noProof/>
          <w:lang w:val="en-NZ" w:eastAsia="en-NZ"/>
        </w:rPr>
        <w:t xml:space="preserve"> per cent reduction from 4,480 distinct clients in 2009-2010.</w:t>
      </w:r>
    </w:p>
    <w:p w:rsidR="00D10B4D" w:rsidRPr="00713E9E" w:rsidRDefault="00D10B4D" w:rsidP="00350FB9">
      <w:pPr>
        <w:jc w:val="both"/>
        <w:rPr>
          <w:noProof/>
          <w:lang w:val="en-NZ" w:eastAsia="en-NZ"/>
        </w:rPr>
      </w:pPr>
      <w:r w:rsidRPr="00713E9E">
        <w:rPr>
          <w:noProof/>
          <w:lang w:val="en-NZ" w:eastAsia="en-NZ"/>
        </w:rPr>
        <w:t>High end tariff</w:t>
      </w:r>
      <w:r w:rsidR="00DC5BBE">
        <w:rPr>
          <w:noProof/>
          <w:lang w:val="en-NZ" w:eastAsia="en-NZ"/>
        </w:rPr>
        <w:t xml:space="preserve"> Youth C</w:t>
      </w:r>
      <w:r w:rsidRPr="00713E9E">
        <w:rPr>
          <w:noProof/>
          <w:lang w:val="en-NZ" w:eastAsia="en-NZ"/>
        </w:rPr>
        <w:t>ourt orders decrea</w:t>
      </w:r>
      <w:r w:rsidR="00FF70C6">
        <w:rPr>
          <w:noProof/>
          <w:lang w:val="en-NZ" w:eastAsia="en-NZ"/>
        </w:rPr>
        <w:t>sed from 659 in 2009-2010 to 499 in 2013-2014, representing a 24</w:t>
      </w:r>
      <w:r w:rsidRPr="00713E9E">
        <w:rPr>
          <w:noProof/>
          <w:lang w:val="en-NZ" w:eastAsia="en-NZ"/>
        </w:rPr>
        <w:t xml:space="preserve"> per cent reduction.</w:t>
      </w:r>
    </w:p>
    <w:p w:rsidR="00D10B4D" w:rsidRPr="00713E9E" w:rsidRDefault="00FF70C6" w:rsidP="00350FB9">
      <w:pPr>
        <w:jc w:val="both"/>
        <w:rPr>
          <w:noProof/>
          <w:lang w:val="en-NZ" w:eastAsia="en-NZ"/>
        </w:rPr>
      </w:pPr>
      <w:r>
        <w:rPr>
          <w:noProof/>
          <w:lang w:val="en-NZ" w:eastAsia="en-NZ"/>
        </w:rPr>
        <w:t>There were 18</w:t>
      </w:r>
      <w:r w:rsidR="00D10B4D" w:rsidRPr="00713E9E">
        <w:rPr>
          <w:noProof/>
          <w:lang w:val="en-NZ" w:eastAsia="en-NZ"/>
        </w:rPr>
        <w:t xml:space="preserve"> transfers to District C</w:t>
      </w:r>
      <w:r>
        <w:rPr>
          <w:noProof/>
          <w:lang w:val="en-NZ" w:eastAsia="en-NZ"/>
        </w:rPr>
        <w:t>ourt for sentencing in 2013-2014</w:t>
      </w:r>
      <w:r w:rsidR="00D10B4D" w:rsidRPr="00713E9E">
        <w:rPr>
          <w:noProof/>
          <w:lang w:val="en-NZ" w:eastAsia="en-NZ"/>
        </w:rPr>
        <w:t xml:space="preserve">. </w:t>
      </w:r>
      <w:r>
        <w:rPr>
          <w:noProof/>
          <w:lang w:val="en-NZ" w:eastAsia="en-NZ"/>
        </w:rPr>
        <w:t>This represents a decrease of 70</w:t>
      </w:r>
      <w:r w:rsidR="00D10B4D" w:rsidRPr="00713E9E">
        <w:rPr>
          <w:noProof/>
          <w:lang w:val="en-NZ" w:eastAsia="en-NZ"/>
        </w:rPr>
        <w:t xml:space="preserve"> per cent from 61 transfers to District Court for sentencing in 2009-2010.</w:t>
      </w:r>
      <w:r w:rsidR="00DC5BBE">
        <w:rPr>
          <w:noProof/>
          <w:lang w:val="en-NZ" w:eastAsia="en-NZ"/>
        </w:rPr>
        <w:t xml:space="preserve"> </w:t>
      </w:r>
      <w:r w:rsidR="00DC5BBE" w:rsidRPr="00355713">
        <w:rPr>
          <w:noProof/>
          <w:lang w:val="en-NZ" w:eastAsia="en-NZ"/>
        </w:rPr>
        <w:t>In part this reduction may be due to the lower volumes of Youth Court throughput, and in part to the impact of the Fresh Start for Young Offenders reforms of 2010 which effectively doubled the length of the most intensive Youth Court orders, including the courts’ ability to order the young person’s detention in a Youth Justice Residence.</w:t>
      </w:r>
    </w:p>
    <w:p w:rsidR="00350FB9" w:rsidRDefault="000F4D71" w:rsidP="002A516E">
      <w:pPr>
        <w:jc w:val="center"/>
      </w:pPr>
      <w:r>
        <w:object w:dxaOrig="9552" w:dyaOrig="1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9pt;height:540pt" o:ole="">
            <v:imagedata r:id="rId10" o:title=""/>
          </v:shape>
          <o:OLEObject Type="Embed" ProgID="Visio.Drawing.11" ShapeID="_x0000_i1025" DrawAspect="Content" ObjectID="_1475994609" r:id="rId11"/>
        </w:object>
      </w:r>
    </w:p>
    <w:p w:rsidR="006A5529" w:rsidRDefault="00713E9E" w:rsidP="00713E9E">
      <w:pPr>
        <w:jc w:val="both"/>
        <w:rPr>
          <w:noProof/>
          <w:lang w:val="en-NZ" w:eastAsia="en-NZ"/>
        </w:rPr>
      </w:pPr>
      <w:r>
        <w:rPr>
          <w:noProof/>
          <w:lang w:val="en-NZ" w:eastAsia="en-NZ"/>
        </w:rPr>
        <w:t>Although Child, Youth and Family</w:t>
      </w:r>
      <w:r w:rsidRPr="00713E9E">
        <w:rPr>
          <w:noProof/>
          <w:lang w:val="en-NZ" w:eastAsia="en-NZ"/>
        </w:rPr>
        <w:t xml:space="preserve"> continues to experience</w:t>
      </w:r>
      <w:r w:rsidR="00DC5BBE">
        <w:rPr>
          <w:noProof/>
          <w:lang w:val="en-NZ" w:eastAsia="en-NZ"/>
        </w:rPr>
        <w:t xml:space="preserve"> overall</w:t>
      </w:r>
      <w:r w:rsidRPr="00713E9E">
        <w:rPr>
          <w:noProof/>
          <w:lang w:val="en-NZ" w:eastAsia="en-NZ"/>
        </w:rPr>
        <w:t xml:space="preserve"> a steady d</w:t>
      </w:r>
      <w:r>
        <w:rPr>
          <w:noProof/>
          <w:lang w:val="en-NZ" w:eastAsia="en-NZ"/>
        </w:rPr>
        <w:t xml:space="preserve">ecline of volumes through </w:t>
      </w:r>
      <w:r w:rsidR="007C34DC">
        <w:rPr>
          <w:noProof/>
          <w:lang w:val="en-NZ" w:eastAsia="en-NZ"/>
        </w:rPr>
        <w:t xml:space="preserve">its </w:t>
      </w:r>
      <w:r>
        <w:rPr>
          <w:noProof/>
          <w:lang w:val="en-NZ" w:eastAsia="en-NZ"/>
        </w:rPr>
        <w:t>youth justice</w:t>
      </w:r>
      <w:r w:rsidR="007C34DC">
        <w:rPr>
          <w:noProof/>
          <w:lang w:val="en-NZ" w:eastAsia="en-NZ"/>
        </w:rPr>
        <w:t xml:space="preserve"> services</w:t>
      </w:r>
      <w:r>
        <w:rPr>
          <w:noProof/>
          <w:lang w:val="en-NZ" w:eastAsia="en-NZ"/>
        </w:rPr>
        <w:t xml:space="preserve">, </w:t>
      </w:r>
      <w:r w:rsidR="007C34DC">
        <w:rPr>
          <w:noProof/>
          <w:lang w:val="en-NZ" w:eastAsia="en-NZ"/>
        </w:rPr>
        <w:t xml:space="preserve">young </w:t>
      </w:r>
      <w:r>
        <w:rPr>
          <w:noProof/>
          <w:lang w:val="en-NZ" w:eastAsia="en-NZ"/>
        </w:rPr>
        <w:t>Maori continue to be over-represented for each financial year</w:t>
      </w:r>
      <w:r w:rsidR="00C77065">
        <w:rPr>
          <w:noProof/>
          <w:lang w:val="en-NZ" w:eastAsia="en-NZ"/>
        </w:rPr>
        <w:t xml:space="preserve">, and show a percentage </w:t>
      </w:r>
      <w:r>
        <w:rPr>
          <w:noProof/>
          <w:lang w:val="en-NZ" w:eastAsia="en-NZ"/>
        </w:rPr>
        <w:t xml:space="preserve">increase </w:t>
      </w:r>
      <w:r w:rsidR="00C77065">
        <w:rPr>
          <w:noProof/>
          <w:lang w:val="en-NZ" w:eastAsia="en-NZ"/>
        </w:rPr>
        <w:t>in each</w:t>
      </w:r>
      <w:r>
        <w:rPr>
          <w:noProof/>
          <w:lang w:val="en-NZ" w:eastAsia="en-NZ"/>
        </w:rPr>
        <w:t xml:space="preserve"> </w:t>
      </w:r>
      <w:r w:rsidR="00C77065">
        <w:rPr>
          <w:noProof/>
          <w:lang w:val="en-NZ" w:eastAsia="en-NZ"/>
        </w:rPr>
        <w:t>key category</w:t>
      </w:r>
      <w:r w:rsidR="0000345F">
        <w:rPr>
          <w:noProof/>
          <w:lang w:val="en-NZ" w:eastAsia="en-NZ"/>
        </w:rPr>
        <w:t xml:space="preserve"> presented above</w:t>
      </w:r>
      <w:r w:rsidR="00C77065">
        <w:rPr>
          <w:noProof/>
          <w:lang w:val="en-NZ" w:eastAsia="en-NZ"/>
        </w:rPr>
        <w:t xml:space="preserve"> </w:t>
      </w:r>
      <w:r w:rsidR="00FF70C6">
        <w:rPr>
          <w:noProof/>
          <w:lang w:val="en-NZ" w:eastAsia="en-NZ"/>
        </w:rPr>
        <w:t>between 2009-2010 and 2013-2014</w:t>
      </w:r>
      <w:r w:rsidRPr="00713E9E">
        <w:rPr>
          <w:noProof/>
          <w:lang w:val="en-NZ" w:eastAsia="en-NZ"/>
        </w:rPr>
        <w:t>.</w:t>
      </w:r>
      <w:r w:rsidR="007C34DC">
        <w:rPr>
          <w:noProof/>
          <w:lang w:val="en-NZ" w:eastAsia="en-NZ"/>
        </w:rPr>
        <w:t xml:space="preserve"> </w:t>
      </w:r>
    </w:p>
    <w:p w:rsidR="00C77065" w:rsidRPr="007C34DC" w:rsidRDefault="0048758C" w:rsidP="00713E9E">
      <w:pPr>
        <w:jc w:val="both"/>
        <w:rPr>
          <w:noProof/>
          <w:color w:val="FF0000"/>
          <w:lang w:val="en-NZ" w:eastAsia="en-NZ"/>
        </w:rPr>
      </w:pPr>
      <w:r>
        <w:rPr>
          <w:noProof/>
          <w:lang w:val="en-NZ" w:eastAsia="en-NZ"/>
        </w:rPr>
        <w:t xml:space="preserve">Statistics New Zealand report that in 2013 (30 June), Maori </w:t>
      </w:r>
      <w:r w:rsidR="006A5529">
        <w:rPr>
          <w:noProof/>
          <w:lang w:val="en-NZ" w:eastAsia="en-NZ"/>
        </w:rPr>
        <w:t>make up</w:t>
      </w:r>
      <w:r>
        <w:rPr>
          <w:noProof/>
          <w:lang w:val="en-NZ" w:eastAsia="en-NZ"/>
        </w:rPr>
        <w:t xml:space="preserve"> 16% of the total NZ population, however for</w:t>
      </w:r>
      <w:r w:rsidR="007C34DC" w:rsidRPr="00355713">
        <w:rPr>
          <w:noProof/>
          <w:lang w:val="en-NZ" w:eastAsia="en-NZ"/>
        </w:rPr>
        <w:t xml:space="preserve"> the 10-16 </w:t>
      </w:r>
      <w:r w:rsidRPr="00355713">
        <w:rPr>
          <w:noProof/>
          <w:lang w:val="en-NZ" w:eastAsia="en-NZ"/>
        </w:rPr>
        <w:t>age range, young Maori make up 24</w:t>
      </w:r>
      <w:r w:rsidR="007C34DC" w:rsidRPr="00355713">
        <w:rPr>
          <w:noProof/>
          <w:lang w:val="en-NZ" w:eastAsia="en-NZ"/>
        </w:rPr>
        <w:t xml:space="preserve">% of the general </w:t>
      </w:r>
      <w:r w:rsidR="006A5529" w:rsidRPr="00355713">
        <w:rPr>
          <w:noProof/>
          <w:lang w:val="en-NZ" w:eastAsia="en-NZ"/>
        </w:rPr>
        <w:t xml:space="preserve">10-16 age range </w:t>
      </w:r>
      <w:r w:rsidR="007C34DC" w:rsidRPr="00355713">
        <w:rPr>
          <w:noProof/>
          <w:lang w:val="en-NZ" w:eastAsia="en-NZ"/>
        </w:rPr>
        <w:t>population.</w:t>
      </w:r>
    </w:p>
    <w:p w:rsidR="0000345F" w:rsidRDefault="0000345F" w:rsidP="00713E9E">
      <w:pPr>
        <w:jc w:val="both"/>
        <w:rPr>
          <w:noProof/>
          <w:lang w:val="en-NZ" w:eastAsia="en-NZ"/>
        </w:rPr>
      </w:pPr>
      <w:r>
        <w:rPr>
          <w:noProof/>
          <w:lang w:val="en-NZ" w:eastAsia="en-NZ"/>
        </w:rPr>
        <w:lastRenderedPageBreak/>
        <w:t xml:space="preserve">Although the total </w:t>
      </w:r>
      <w:r w:rsidR="000F4D71">
        <w:rPr>
          <w:noProof/>
          <w:lang w:val="en-NZ" w:eastAsia="en-NZ"/>
        </w:rPr>
        <w:t xml:space="preserve">number of </w:t>
      </w:r>
      <w:r>
        <w:rPr>
          <w:noProof/>
          <w:lang w:val="en-NZ" w:eastAsia="en-NZ"/>
        </w:rPr>
        <w:t>High</w:t>
      </w:r>
      <w:r w:rsidR="007C34DC">
        <w:rPr>
          <w:noProof/>
          <w:lang w:val="en-NZ" w:eastAsia="en-NZ"/>
        </w:rPr>
        <w:t xml:space="preserve"> End Tariff court o</w:t>
      </w:r>
      <w:r w:rsidR="00AB675E">
        <w:rPr>
          <w:noProof/>
          <w:lang w:val="en-NZ" w:eastAsia="en-NZ"/>
        </w:rPr>
        <w:t>rders declined</w:t>
      </w:r>
      <w:r>
        <w:rPr>
          <w:noProof/>
          <w:lang w:val="en-NZ" w:eastAsia="en-NZ"/>
        </w:rPr>
        <w:t xml:space="preserve"> by 24 per cent between 2009-</w:t>
      </w:r>
      <w:r w:rsidR="00163E14">
        <w:rPr>
          <w:noProof/>
          <w:lang w:val="en-NZ" w:eastAsia="en-NZ"/>
        </w:rPr>
        <w:t>20</w:t>
      </w:r>
      <w:r>
        <w:rPr>
          <w:noProof/>
          <w:lang w:val="en-NZ" w:eastAsia="en-NZ"/>
        </w:rPr>
        <w:t>10 and 2013-</w:t>
      </w:r>
      <w:r w:rsidR="00163E14">
        <w:rPr>
          <w:noProof/>
          <w:lang w:val="en-NZ" w:eastAsia="en-NZ"/>
        </w:rPr>
        <w:t>20</w:t>
      </w:r>
      <w:r>
        <w:rPr>
          <w:noProof/>
          <w:lang w:val="en-NZ" w:eastAsia="en-NZ"/>
        </w:rPr>
        <w:t>14, Supervision with Residence orders remained constant</w:t>
      </w:r>
      <w:r w:rsidR="00AB675E">
        <w:rPr>
          <w:noProof/>
          <w:lang w:val="en-NZ" w:eastAsia="en-NZ"/>
        </w:rPr>
        <w:t xml:space="preserve">. </w:t>
      </w:r>
      <w:r w:rsidR="00AB675E" w:rsidRPr="00355713">
        <w:rPr>
          <w:noProof/>
          <w:lang w:val="en-NZ" w:eastAsia="en-NZ"/>
        </w:rPr>
        <w:t>The overall number</w:t>
      </w:r>
      <w:r w:rsidRPr="00355713">
        <w:rPr>
          <w:noProof/>
          <w:lang w:val="en-NZ" w:eastAsia="en-NZ"/>
        </w:rPr>
        <w:t xml:space="preserve"> of young people </w:t>
      </w:r>
      <w:r w:rsidR="00AB675E" w:rsidRPr="00355713">
        <w:rPr>
          <w:noProof/>
          <w:lang w:val="en-NZ" w:eastAsia="en-NZ"/>
        </w:rPr>
        <w:t>placed</w:t>
      </w:r>
      <w:r w:rsidRPr="00355713">
        <w:rPr>
          <w:noProof/>
          <w:lang w:val="en-NZ" w:eastAsia="en-NZ"/>
        </w:rPr>
        <w:t xml:space="preserve"> on remand</w:t>
      </w:r>
      <w:r w:rsidR="00AB675E" w:rsidRPr="00355713">
        <w:rPr>
          <w:noProof/>
          <w:lang w:val="en-NZ" w:eastAsia="en-NZ"/>
        </w:rPr>
        <w:t xml:space="preserve"> in</w:t>
      </w:r>
      <w:r w:rsidRPr="00355713">
        <w:rPr>
          <w:noProof/>
          <w:lang w:val="en-NZ" w:eastAsia="en-NZ"/>
        </w:rPr>
        <w:t xml:space="preserve"> a Youth Justice Residence awaiting a Youth Co</w:t>
      </w:r>
      <w:r w:rsidR="007C34DC" w:rsidRPr="00355713">
        <w:rPr>
          <w:noProof/>
          <w:lang w:val="en-NZ" w:eastAsia="en-NZ"/>
        </w:rPr>
        <w:t>urt decision is increasing and is a Youth Crime Action Plan area of specific focus.</w:t>
      </w:r>
    </w:p>
    <w:p w:rsidR="007C34DC" w:rsidRPr="007C34DC" w:rsidRDefault="00C77065" w:rsidP="007C34DC">
      <w:pPr>
        <w:pStyle w:val="Heading2"/>
        <w:numPr>
          <w:ilvl w:val="1"/>
          <w:numId w:val="1"/>
        </w:numPr>
      </w:pPr>
      <w:bookmarkStart w:id="4" w:name="_Toc400525434"/>
      <w:proofErr w:type="spellStart"/>
      <w:r>
        <w:t>Rangatahi</w:t>
      </w:r>
      <w:proofErr w:type="spellEnd"/>
      <w:r>
        <w:t xml:space="preserve"> </w:t>
      </w:r>
      <w:r w:rsidR="006E44A1">
        <w:t>Court</w:t>
      </w:r>
      <w:bookmarkEnd w:id="4"/>
    </w:p>
    <w:p w:rsidR="003C2308" w:rsidRDefault="003C2308" w:rsidP="003C2308">
      <w:pPr>
        <w:jc w:val="both"/>
        <w:rPr>
          <w:noProof/>
          <w:lang w:val="en-NZ" w:eastAsia="en-NZ"/>
        </w:rPr>
      </w:pPr>
      <w:r>
        <w:t xml:space="preserve">The concept of </w:t>
      </w:r>
      <w:proofErr w:type="spellStart"/>
      <w:r>
        <w:t>Ngā</w:t>
      </w:r>
      <w:proofErr w:type="spellEnd"/>
      <w:r>
        <w:t xml:space="preserve"> </w:t>
      </w:r>
      <w:proofErr w:type="spellStart"/>
      <w:r>
        <w:t>Kooti</w:t>
      </w:r>
      <w:proofErr w:type="spellEnd"/>
      <w:r>
        <w:t xml:space="preserve"> </w:t>
      </w:r>
      <w:proofErr w:type="spellStart"/>
      <w:r>
        <w:t>Rangatahi</w:t>
      </w:r>
      <w:proofErr w:type="spellEnd"/>
      <w:r>
        <w:t xml:space="preserve"> was developed by the Judiciary and was informed by the experience of the Koori Courts in Australia. Through </w:t>
      </w:r>
      <w:proofErr w:type="spellStart"/>
      <w:r w:rsidR="00CC531D">
        <w:t>Rangatahi</w:t>
      </w:r>
      <w:proofErr w:type="spellEnd"/>
      <w:r w:rsidR="00CC531D">
        <w:t xml:space="preserve"> Court</w:t>
      </w:r>
      <w:r>
        <w:t xml:space="preserve">, part of the Youth Court process, the monitoring of Family Group Conference (FGC) plans, is undertaken at a marae </w:t>
      </w:r>
      <w:r>
        <w:rPr>
          <w:noProof/>
          <w:lang w:val="en-NZ" w:eastAsia="en-NZ"/>
        </w:rPr>
        <w:t>in an attempt to recon</w:t>
      </w:r>
      <w:r w:rsidR="00DC0A47">
        <w:rPr>
          <w:noProof/>
          <w:lang w:val="en-NZ" w:eastAsia="en-NZ"/>
        </w:rPr>
        <w:t>n</w:t>
      </w:r>
      <w:r>
        <w:rPr>
          <w:noProof/>
          <w:lang w:val="en-NZ" w:eastAsia="en-NZ"/>
        </w:rPr>
        <w:t>ect young offenders with their culture, improve their compliance with F</w:t>
      </w:r>
      <w:r w:rsidR="00CC531D">
        <w:rPr>
          <w:noProof/>
          <w:lang w:val="en-NZ" w:eastAsia="en-NZ"/>
        </w:rPr>
        <w:t xml:space="preserve">amily </w:t>
      </w:r>
      <w:r>
        <w:rPr>
          <w:noProof/>
          <w:lang w:val="en-NZ" w:eastAsia="en-NZ"/>
        </w:rPr>
        <w:t>G</w:t>
      </w:r>
      <w:r w:rsidR="00CC531D">
        <w:rPr>
          <w:noProof/>
          <w:lang w:val="en-NZ" w:eastAsia="en-NZ"/>
        </w:rPr>
        <w:t xml:space="preserve">roup </w:t>
      </w:r>
      <w:r>
        <w:rPr>
          <w:noProof/>
          <w:lang w:val="en-NZ" w:eastAsia="en-NZ"/>
        </w:rPr>
        <w:t>C</w:t>
      </w:r>
      <w:r w:rsidR="00CC531D">
        <w:rPr>
          <w:noProof/>
          <w:lang w:val="en-NZ" w:eastAsia="en-NZ"/>
        </w:rPr>
        <w:t>onference</w:t>
      </w:r>
      <w:r>
        <w:rPr>
          <w:noProof/>
          <w:lang w:val="en-NZ" w:eastAsia="en-NZ"/>
        </w:rPr>
        <w:t xml:space="preserve"> plans and reduce their risk of reoffending.</w:t>
      </w:r>
    </w:p>
    <w:p w:rsidR="008B5321" w:rsidRDefault="00CC531D" w:rsidP="00713E9E">
      <w:pPr>
        <w:jc w:val="both"/>
        <w:rPr>
          <w:noProof/>
          <w:lang w:val="en-NZ" w:eastAsia="en-NZ"/>
        </w:rPr>
      </w:pPr>
      <w:r>
        <w:rPr>
          <w:noProof/>
          <w:lang w:val="en-NZ" w:eastAsia="en-NZ"/>
        </w:rPr>
        <w:t>Rangatahi Court</w:t>
      </w:r>
      <w:r w:rsidR="008B5321">
        <w:rPr>
          <w:noProof/>
          <w:lang w:val="en-NZ" w:eastAsia="en-NZ"/>
        </w:rPr>
        <w:t xml:space="preserve"> may be offered as the venue for appearances subsequent to the young person’s first appearance in Youth Court.</w:t>
      </w:r>
    </w:p>
    <w:p w:rsidR="006E44A1" w:rsidRDefault="006E44A1" w:rsidP="00713E9E">
      <w:pPr>
        <w:jc w:val="both"/>
      </w:pPr>
      <w:r>
        <w:t>Judges involved i</w:t>
      </w:r>
      <w:r w:rsidR="00CC531D">
        <w:t>n the establishment of</w:t>
      </w:r>
      <w:r>
        <w:t xml:space="preserve"> </w:t>
      </w:r>
      <w:proofErr w:type="spellStart"/>
      <w:r>
        <w:t>Rangatahi</w:t>
      </w:r>
      <w:proofErr w:type="spellEnd"/>
      <w:r w:rsidR="00CC531D">
        <w:t xml:space="preserve"> Court</w:t>
      </w:r>
      <w:r>
        <w:t xml:space="preserve"> consider that </w:t>
      </w:r>
      <w:proofErr w:type="spellStart"/>
      <w:r>
        <w:t>rangatahi</w:t>
      </w:r>
      <w:proofErr w:type="spellEnd"/>
      <w:r>
        <w:t xml:space="preserve"> offending is related to a lack of self-esteem, a confused sense of self-identity and a strong sense of resentment which in turn leads to anger and ultimately leads to offending.</w:t>
      </w:r>
    </w:p>
    <w:p w:rsidR="007C34DC" w:rsidRDefault="007C34DC" w:rsidP="00713E9E">
      <w:pPr>
        <w:jc w:val="both"/>
        <w:rPr>
          <w:noProof/>
          <w:lang w:val="en-NZ" w:eastAsia="en-NZ"/>
        </w:rPr>
      </w:pPr>
      <w:r>
        <w:rPr>
          <w:noProof/>
          <w:lang w:val="en-NZ" w:eastAsia="en-NZ"/>
        </w:rPr>
        <w:t>An evaluation of the early outcomes of Nga Kooti Rangatahi (Rangatahi Court)(cultural equivalent to Youth Justice Court) submitted to the Ministry of Justice, 17 December 2012, assessed the implementation of Rangatahi Courts and identified the early outcomes for those rangatahi who had their Family Group Conference Plan monitored through the Rangatahi Court.</w:t>
      </w:r>
    </w:p>
    <w:p w:rsidR="008B0A68" w:rsidRDefault="00AD6774" w:rsidP="00713E9E">
      <w:pPr>
        <w:jc w:val="both"/>
        <w:rPr>
          <w:noProof/>
          <w:lang w:val="en-NZ" w:eastAsia="en-NZ"/>
        </w:rPr>
      </w:pPr>
      <w:r>
        <w:rPr>
          <w:noProof/>
          <w:lang w:val="en-NZ" w:eastAsia="en-NZ"/>
        </w:rPr>
        <w:t>Early observable outcomes for r</w:t>
      </w:r>
      <w:r w:rsidR="008B0A68">
        <w:rPr>
          <w:noProof/>
          <w:lang w:val="en-NZ" w:eastAsia="en-NZ"/>
        </w:rPr>
        <w:t>angatahi include:</w:t>
      </w:r>
    </w:p>
    <w:p w:rsidR="008B0A68" w:rsidRDefault="008B0A68" w:rsidP="008B0A68">
      <w:pPr>
        <w:pStyle w:val="ListParagraph"/>
        <w:numPr>
          <w:ilvl w:val="0"/>
          <w:numId w:val="3"/>
        </w:numPr>
        <w:jc w:val="both"/>
        <w:rPr>
          <w:noProof/>
          <w:lang w:val="en-NZ" w:eastAsia="en-NZ"/>
        </w:rPr>
      </w:pPr>
      <w:r>
        <w:rPr>
          <w:noProof/>
          <w:lang w:val="en-NZ" w:eastAsia="en-NZ"/>
        </w:rPr>
        <w:t>The marae venue was observed to establish a strengths based process</w:t>
      </w:r>
    </w:p>
    <w:p w:rsidR="008B0A68" w:rsidRDefault="008B0A68" w:rsidP="008B0A68">
      <w:pPr>
        <w:pStyle w:val="ListParagraph"/>
        <w:numPr>
          <w:ilvl w:val="0"/>
          <w:numId w:val="3"/>
        </w:numPr>
        <w:jc w:val="both"/>
        <w:rPr>
          <w:noProof/>
          <w:lang w:val="en-NZ" w:eastAsia="en-NZ"/>
        </w:rPr>
      </w:pPr>
      <w:r>
        <w:rPr>
          <w:noProof/>
          <w:lang w:val="en-NZ" w:eastAsia="en-NZ"/>
        </w:rPr>
        <w:t>Rangatahi developed a stronger sense of cultural identity and self identity</w:t>
      </w:r>
    </w:p>
    <w:p w:rsidR="008B0A68" w:rsidRDefault="008B0A68" w:rsidP="008B0A68">
      <w:pPr>
        <w:pStyle w:val="ListParagraph"/>
        <w:numPr>
          <w:ilvl w:val="0"/>
          <w:numId w:val="3"/>
        </w:numPr>
        <w:jc w:val="both"/>
        <w:rPr>
          <w:noProof/>
          <w:lang w:val="en-NZ" w:eastAsia="en-NZ"/>
        </w:rPr>
      </w:pPr>
      <w:r>
        <w:rPr>
          <w:noProof/>
          <w:lang w:val="en-NZ" w:eastAsia="en-NZ"/>
        </w:rPr>
        <w:t xml:space="preserve">Rangatahi left court with a </w:t>
      </w:r>
      <w:r w:rsidR="00DC0A47">
        <w:rPr>
          <w:noProof/>
          <w:lang w:val="en-NZ" w:eastAsia="en-NZ"/>
        </w:rPr>
        <w:t>s</w:t>
      </w:r>
      <w:r>
        <w:rPr>
          <w:noProof/>
          <w:lang w:val="en-NZ" w:eastAsia="en-NZ"/>
        </w:rPr>
        <w:t>ense of purpose and a positive attitude</w:t>
      </w:r>
    </w:p>
    <w:p w:rsidR="008B0A68" w:rsidRDefault="008B0A68" w:rsidP="008B0A68">
      <w:pPr>
        <w:jc w:val="both"/>
        <w:rPr>
          <w:noProof/>
          <w:lang w:val="en-NZ" w:eastAsia="en-NZ"/>
        </w:rPr>
      </w:pPr>
      <w:r w:rsidRPr="008B0A68">
        <w:rPr>
          <w:noProof/>
          <w:lang w:val="en-NZ" w:eastAsia="en-NZ"/>
        </w:rPr>
        <w:t>Rangatahi who were identified as “success cases” shared some commonalities</w:t>
      </w:r>
      <w:r w:rsidR="00CC531D">
        <w:rPr>
          <w:noProof/>
          <w:lang w:val="en-NZ" w:eastAsia="en-NZ"/>
        </w:rPr>
        <w:t>,</w:t>
      </w:r>
      <w:r w:rsidRPr="008B0A68">
        <w:rPr>
          <w:noProof/>
          <w:lang w:val="en-NZ" w:eastAsia="en-NZ"/>
        </w:rPr>
        <w:t xml:space="preserve"> including</w:t>
      </w:r>
      <w:r>
        <w:rPr>
          <w:noProof/>
          <w:lang w:val="en-NZ" w:eastAsia="en-NZ"/>
        </w:rPr>
        <w:t>:</w:t>
      </w:r>
    </w:p>
    <w:p w:rsidR="008B0A68" w:rsidRDefault="00CC531D" w:rsidP="008B0A68">
      <w:pPr>
        <w:pStyle w:val="ListParagraph"/>
        <w:numPr>
          <w:ilvl w:val="0"/>
          <w:numId w:val="4"/>
        </w:numPr>
        <w:jc w:val="both"/>
        <w:rPr>
          <w:noProof/>
          <w:lang w:val="en-NZ" w:eastAsia="en-NZ"/>
        </w:rPr>
      </w:pPr>
      <w:r>
        <w:rPr>
          <w:noProof/>
          <w:lang w:val="en-NZ" w:eastAsia="en-NZ"/>
        </w:rPr>
        <w:t>t</w:t>
      </w:r>
      <w:r w:rsidR="008B0A68">
        <w:rPr>
          <w:noProof/>
          <w:lang w:val="en-NZ" w:eastAsia="en-NZ"/>
        </w:rPr>
        <w:t>hey had stable living arrangements</w:t>
      </w:r>
    </w:p>
    <w:p w:rsidR="008B0A68" w:rsidRDefault="00CC531D" w:rsidP="008B0A68">
      <w:pPr>
        <w:pStyle w:val="ListParagraph"/>
        <w:numPr>
          <w:ilvl w:val="0"/>
          <w:numId w:val="4"/>
        </w:numPr>
        <w:jc w:val="both"/>
        <w:rPr>
          <w:noProof/>
          <w:lang w:val="en-NZ" w:eastAsia="en-NZ"/>
        </w:rPr>
      </w:pPr>
      <w:r>
        <w:rPr>
          <w:noProof/>
          <w:lang w:val="en-NZ" w:eastAsia="en-NZ"/>
        </w:rPr>
        <w:t>t</w:t>
      </w:r>
      <w:r w:rsidR="008B0A68">
        <w:rPr>
          <w:noProof/>
          <w:lang w:val="en-NZ" w:eastAsia="en-NZ"/>
        </w:rPr>
        <w:t>hey were engaged in some form of education or training</w:t>
      </w:r>
    </w:p>
    <w:p w:rsidR="008B0A68" w:rsidRDefault="00CC531D" w:rsidP="008B0A68">
      <w:pPr>
        <w:pStyle w:val="ListParagraph"/>
        <w:numPr>
          <w:ilvl w:val="0"/>
          <w:numId w:val="4"/>
        </w:numPr>
        <w:jc w:val="both"/>
        <w:rPr>
          <w:noProof/>
          <w:lang w:val="en-NZ" w:eastAsia="en-NZ"/>
        </w:rPr>
      </w:pPr>
      <w:r>
        <w:rPr>
          <w:noProof/>
          <w:lang w:val="en-NZ" w:eastAsia="en-NZ"/>
        </w:rPr>
        <w:t>t</w:t>
      </w:r>
      <w:r w:rsidR="008B0A68">
        <w:rPr>
          <w:noProof/>
          <w:lang w:val="en-NZ" w:eastAsia="en-NZ"/>
        </w:rPr>
        <w:t>hey had active and innovative lay advocates</w:t>
      </w:r>
    </w:p>
    <w:p w:rsidR="008B0A68" w:rsidRDefault="00CC531D" w:rsidP="008B0A68">
      <w:pPr>
        <w:pStyle w:val="ListParagraph"/>
        <w:numPr>
          <w:ilvl w:val="0"/>
          <w:numId w:val="4"/>
        </w:numPr>
        <w:jc w:val="both"/>
        <w:rPr>
          <w:noProof/>
          <w:lang w:val="en-NZ" w:eastAsia="en-NZ"/>
        </w:rPr>
      </w:pPr>
      <w:r>
        <w:rPr>
          <w:noProof/>
          <w:lang w:val="en-NZ" w:eastAsia="en-NZ"/>
        </w:rPr>
        <w:t>t</w:t>
      </w:r>
      <w:r w:rsidR="008B0A68">
        <w:rPr>
          <w:noProof/>
          <w:lang w:val="en-NZ" w:eastAsia="en-NZ"/>
        </w:rPr>
        <w:t>hey had strong social workers</w:t>
      </w:r>
      <w:r>
        <w:rPr>
          <w:noProof/>
          <w:lang w:val="en-NZ" w:eastAsia="en-NZ"/>
        </w:rPr>
        <w:t>, and</w:t>
      </w:r>
    </w:p>
    <w:p w:rsidR="008B0A68" w:rsidRDefault="00CC531D" w:rsidP="008B0A68">
      <w:pPr>
        <w:pStyle w:val="ListParagraph"/>
        <w:numPr>
          <w:ilvl w:val="0"/>
          <w:numId w:val="4"/>
        </w:numPr>
        <w:jc w:val="both"/>
        <w:rPr>
          <w:noProof/>
          <w:lang w:val="en-NZ" w:eastAsia="en-NZ"/>
        </w:rPr>
      </w:pPr>
      <w:r>
        <w:rPr>
          <w:noProof/>
          <w:lang w:val="en-NZ" w:eastAsia="en-NZ"/>
        </w:rPr>
        <w:t>t</w:t>
      </w:r>
      <w:r w:rsidR="008B0A68">
        <w:rPr>
          <w:noProof/>
          <w:lang w:val="en-NZ" w:eastAsia="en-NZ"/>
        </w:rPr>
        <w:t>heir whanau had strong support from service providers.</w:t>
      </w:r>
    </w:p>
    <w:p w:rsidR="003C2308" w:rsidRDefault="002F46FC" w:rsidP="003C2308">
      <w:pPr>
        <w:jc w:val="both"/>
        <w:rPr>
          <w:noProof/>
          <w:lang w:val="en-NZ" w:eastAsia="en-NZ"/>
        </w:rPr>
      </w:pPr>
      <w:r>
        <w:rPr>
          <w:noProof/>
          <w:lang w:val="en-NZ" w:eastAsia="en-NZ"/>
        </w:rPr>
        <w:t>O</w:t>
      </w:r>
      <w:r w:rsidR="00CC531D">
        <w:rPr>
          <w:noProof/>
          <w:lang w:val="en-NZ" w:eastAsia="en-NZ"/>
        </w:rPr>
        <w:t>utcomes for the Whanau</w:t>
      </w:r>
      <w:r w:rsidR="00AD6774">
        <w:rPr>
          <w:noProof/>
          <w:lang w:val="en-NZ" w:eastAsia="en-NZ"/>
        </w:rPr>
        <w:t xml:space="preserve"> (family grouping)</w:t>
      </w:r>
      <w:r>
        <w:rPr>
          <w:noProof/>
          <w:lang w:val="en-NZ" w:eastAsia="en-NZ"/>
        </w:rPr>
        <w:t xml:space="preserve"> </w:t>
      </w:r>
      <w:r w:rsidR="00CC531D">
        <w:rPr>
          <w:noProof/>
          <w:lang w:val="en-NZ" w:eastAsia="en-NZ"/>
        </w:rPr>
        <w:t>include:</w:t>
      </w:r>
    </w:p>
    <w:p w:rsidR="002F46FC" w:rsidRDefault="005563A7" w:rsidP="002F46FC">
      <w:pPr>
        <w:pStyle w:val="ListParagraph"/>
        <w:numPr>
          <w:ilvl w:val="0"/>
          <w:numId w:val="6"/>
        </w:numPr>
        <w:jc w:val="both"/>
        <w:rPr>
          <w:noProof/>
          <w:lang w:val="en-NZ" w:eastAsia="en-NZ"/>
        </w:rPr>
      </w:pPr>
      <w:r>
        <w:rPr>
          <w:noProof/>
          <w:lang w:val="en-NZ" w:eastAsia="en-NZ"/>
        </w:rPr>
        <w:t>they</w:t>
      </w:r>
      <w:r w:rsidR="002F46FC">
        <w:rPr>
          <w:noProof/>
          <w:lang w:val="en-NZ" w:eastAsia="en-NZ"/>
        </w:rPr>
        <w:t xml:space="preserve"> </w:t>
      </w:r>
      <w:r w:rsidR="002F46FC" w:rsidRPr="002F46FC">
        <w:rPr>
          <w:noProof/>
          <w:lang w:val="en-NZ" w:eastAsia="en-NZ"/>
        </w:rPr>
        <w:t>felt respected and welcome at court</w:t>
      </w:r>
    </w:p>
    <w:p w:rsidR="002F46FC" w:rsidRDefault="002F46FC" w:rsidP="002F46FC">
      <w:pPr>
        <w:pStyle w:val="ListParagraph"/>
        <w:numPr>
          <w:ilvl w:val="0"/>
          <w:numId w:val="6"/>
        </w:numPr>
        <w:jc w:val="both"/>
        <w:rPr>
          <w:noProof/>
          <w:lang w:val="en-NZ" w:eastAsia="en-NZ"/>
        </w:rPr>
      </w:pPr>
      <w:r w:rsidRPr="002F46FC">
        <w:rPr>
          <w:noProof/>
          <w:lang w:val="en-NZ" w:eastAsia="en-NZ"/>
        </w:rPr>
        <w:t>understood the court process and what was required of them</w:t>
      </w:r>
    </w:p>
    <w:p w:rsidR="002F46FC" w:rsidRDefault="002F46FC" w:rsidP="002F46FC">
      <w:pPr>
        <w:pStyle w:val="ListParagraph"/>
        <w:numPr>
          <w:ilvl w:val="0"/>
          <w:numId w:val="6"/>
        </w:numPr>
        <w:jc w:val="both"/>
        <w:rPr>
          <w:noProof/>
          <w:lang w:val="en-NZ" w:eastAsia="en-NZ"/>
        </w:rPr>
      </w:pPr>
      <w:r w:rsidRPr="002F46FC">
        <w:rPr>
          <w:noProof/>
          <w:lang w:val="en-NZ" w:eastAsia="en-NZ"/>
        </w:rPr>
        <w:t>felt included and actively engaged in the court process</w:t>
      </w:r>
    </w:p>
    <w:p w:rsidR="002F46FC" w:rsidRDefault="002F46FC" w:rsidP="002F46FC">
      <w:pPr>
        <w:pStyle w:val="ListParagraph"/>
        <w:numPr>
          <w:ilvl w:val="0"/>
          <w:numId w:val="6"/>
        </w:numPr>
        <w:jc w:val="both"/>
        <w:rPr>
          <w:noProof/>
          <w:lang w:val="en-NZ" w:eastAsia="en-NZ"/>
        </w:rPr>
      </w:pPr>
      <w:r w:rsidRPr="002F46FC">
        <w:rPr>
          <w:noProof/>
          <w:lang w:val="en-NZ" w:eastAsia="en-NZ"/>
        </w:rPr>
        <w:t>felt a sense of pride in their rangatahi</w:t>
      </w:r>
    </w:p>
    <w:p w:rsidR="002F46FC" w:rsidRPr="002F46FC" w:rsidRDefault="002F46FC" w:rsidP="002F46FC">
      <w:pPr>
        <w:pStyle w:val="ListParagraph"/>
        <w:numPr>
          <w:ilvl w:val="0"/>
          <w:numId w:val="6"/>
        </w:numPr>
        <w:jc w:val="both"/>
        <w:rPr>
          <w:noProof/>
          <w:lang w:val="en-NZ" w:eastAsia="en-NZ"/>
        </w:rPr>
      </w:pPr>
      <w:r w:rsidRPr="002F46FC">
        <w:rPr>
          <w:noProof/>
          <w:lang w:val="en-NZ" w:eastAsia="en-NZ"/>
        </w:rPr>
        <w:t>felt supported in their parenting role.</w:t>
      </w:r>
    </w:p>
    <w:p w:rsidR="002F46FC" w:rsidRDefault="002F46FC" w:rsidP="00CC531D">
      <w:pPr>
        <w:pStyle w:val="ListParagraph"/>
        <w:numPr>
          <w:ilvl w:val="0"/>
          <w:numId w:val="6"/>
        </w:numPr>
        <w:jc w:val="both"/>
        <w:rPr>
          <w:noProof/>
          <w:lang w:val="en-NZ" w:eastAsia="en-NZ"/>
        </w:rPr>
      </w:pPr>
      <w:r>
        <w:rPr>
          <w:noProof/>
          <w:lang w:val="en-NZ" w:eastAsia="en-NZ"/>
        </w:rPr>
        <w:lastRenderedPageBreak/>
        <w:t>Some whanau also reported that communication was enhanced and relationships were strengthened within their whanau.</w:t>
      </w:r>
    </w:p>
    <w:p w:rsidR="00F86F21" w:rsidRDefault="00F86F21" w:rsidP="00F86F21">
      <w:pPr>
        <w:jc w:val="both"/>
        <w:rPr>
          <w:noProof/>
          <w:lang w:val="en-NZ" w:eastAsia="en-NZ"/>
        </w:rPr>
      </w:pPr>
      <w:r>
        <w:rPr>
          <w:noProof/>
          <w:lang w:val="en-NZ" w:eastAsia="en-NZ"/>
        </w:rPr>
        <w:t>Outcomes for the Marae Community include:</w:t>
      </w:r>
    </w:p>
    <w:p w:rsidR="00F86F21" w:rsidRDefault="00F86F21" w:rsidP="00F86F21">
      <w:pPr>
        <w:pStyle w:val="ListParagraph"/>
        <w:numPr>
          <w:ilvl w:val="0"/>
          <w:numId w:val="7"/>
        </w:numPr>
        <w:jc w:val="both"/>
        <w:rPr>
          <w:noProof/>
          <w:lang w:val="en-NZ" w:eastAsia="en-NZ"/>
        </w:rPr>
      </w:pPr>
      <w:r>
        <w:rPr>
          <w:noProof/>
          <w:lang w:val="en-NZ" w:eastAsia="en-NZ"/>
        </w:rPr>
        <w:t>Hosting Rangatahi Court validates the mana (position of authority) of the marae as a venue for cultural and community engagement</w:t>
      </w:r>
    </w:p>
    <w:p w:rsidR="00F86F21" w:rsidRDefault="00E20C40" w:rsidP="00F86F21">
      <w:pPr>
        <w:pStyle w:val="ListParagraph"/>
        <w:numPr>
          <w:ilvl w:val="0"/>
          <w:numId w:val="7"/>
        </w:numPr>
        <w:jc w:val="both"/>
        <w:rPr>
          <w:noProof/>
          <w:lang w:val="en-NZ" w:eastAsia="en-NZ"/>
        </w:rPr>
      </w:pPr>
      <w:r>
        <w:rPr>
          <w:noProof/>
          <w:lang w:val="en-NZ" w:eastAsia="en-NZ"/>
        </w:rPr>
        <w:t>Mobilising part of the Maori community to support youth on the wrong side of the law.</w:t>
      </w:r>
    </w:p>
    <w:p w:rsidR="00D966BA" w:rsidRDefault="00E20C40" w:rsidP="00F86F21">
      <w:pPr>
        <w:pStyle w:val="ListParagraph"/>
        <w:numPr>
          <w:ilvl w:val="0"/>
          <w:numId w:val="7"/>
        </w:numPr>
        <w:jc w:val="both"/>
        <w:rPr>
          <w:noProof/>
          <w:lang w:val="en-NZ" w:eastAsia="en-NZ"/>
        </w:rPr>
      </w:pPr>
      <w:r>
        <w:rPr>
          <w:noProof/>
          <w:lang w:val="en-NZ" w:eastAsia="en-NZ"/>
        </w:rPr>
        <w:t xml:space="preserve">Wider community support during the powhiri process, and ongoing running of the Marae during the Rangatahi Court. Members of the community established </w:t>
      </w:r>
      <w:r w:rsidR="00D966BA">
        <w:rPr>
          <w:noProof/>
          <w:lang w:val="en-NZ" w:eastAsia="en-NZ"/>
        </w:rPr>
        <w:t>a relationship with the marae, and some community members re-established their relationship with the Marae.</w:t>
      </w:r>
    </w:p>
    <w:p w:rsidR="00D966BA" w:rsidRDefault="00D966BA" w:rsidP="00F86F21">
      <w:pPr>
        <w:pStyle w:val="ListParagraph"/>
        <w:numPr>
          <w:ilvl w:val="0"/>
          <w:numId w:val="7"/>
        </w:numPr>
        <w:jc w:val="both"/>
        <w:rPr>
          <w:noProof/>
          <w:lang w:val="en-NZ" w:eastAsia="en-NZ"/>
        </w:rPr>
      </w:pPr>
      <w:r>
        <w:rPr>
          <w:noProof/>
          <w:lang w:val="en-NZ" w:eastAsia="en-NZ"/>
        </w:rPr>
        <w:t>Making a connection with rangatahi through the Rangatahi Court, and maintaining that connection with rangatahi after Rangatahi Court.</w:t>
      </w:r>
    </w:p>
    <w:p w:rsidR="00E20C40" w:rsidRDefault="00D966BA" w:rsidP="00F86F21">
      <w:pPr>
        <w:pStyle w:val="ListParagraph"/>
        <w:numPr>
          <w:ilvl w:val="0"/>
          <w:numId w:val="7"/>
        </w:numPr>
        <w:jc w:val="both"/>
        <w:rPr>
          <w:noProof/>
          <w:lang w:val="en-NZ" w:eastAsia="en-NZ"/>
        </w:rPr>
      </w:pPr>
      <w:r>
        <w:rPr>
          <w:noProof/>
          <w:lang w:val="en-NZ" w:eastAsia="en-NZ"/>
        </w:rPr>
        <w:t>Enhanced respect for the law within the community.</w:t>
      </w:r>
      <w:r w:rsidR="00E20C40">
        <w:rPr>
          <w:noProof/>
          <w:lang w:val="en-NZ" w:eastAsia="en-NZ"/>
        </w:rPr>
        <w:t xml:space="preserve"> </w:t>
      </w:r>
    </w:p>
    <w:p w:rsidR="00D966BA" w:rsidRDefault="00355713" w:rsidP="00F86F21">
      <w:pPr>
        <w:jc w:val="both"/>
        <w:rPr>
          <w:noProof/>
          <w:lang w:val="en-NZ" w:eastAsia="en-NZ"/>
        </w:rPr>
      </w:pPr>
      <w:r>
        <w:rPr>
          <w:noProof/>
          <w:lang w:val="en-NZ" w:eastAsia="en-NZ"/>
        </w:rPr>
        <w:t xml:space="preserve">It should be noted that the legal processes in the Rangatahi Court are the same processes that apply in the Youth Court  so the legal system is being applied in the same way.  </w:t>
      </w:r>
      <w:r w:rsidR="00F86F21">
        <w:rPr>
          <w:noProof/>
          <w:lang w:val="en-NZ" w:eastAsia="en-NZ"/>
        </w:rPr>
        <w:t>By going to the marae, the court automatically opens itself up to the strengths</w:t>
      </w:r>
      <w:r w:rsidR="0071555D">
        <w:rPr>
          <w:noProof/>
          <w:lang w:val="en-NZ" w:eastAsia="en-NZ"/>
        </w:rPr>
        <w:t xml:space="preserve"> and opportunities</w:t>
      </w:r>
      <w:r w:rsidR="00F86F21">
        <w:rPr>
          <w:noProof/>
          <w:lang w:val="en-NZ" w:eastAsia="en-NZ"/>
        </w:rPr>
        <w:t xml:space="preserve"> of the Maori community.</w:t>
      </w:r>
      <w:r w:rsidR="007C34DC">
        <w:rPr>
          <w:noProof/>
          <w:lang w:val="en-NZ" w:eastAsia="en-NZ"/>
        </w:rPr>
        <w:t xml:space="preserve"> </w:t>
      </w:r>
      <w:r w:rsidR="007C34DC" w:rsidRPr="00355713">
        <w:rPr>
          <w:noProof/>
          <w:lang w:val="en-NZ" w:eastAsia="en-NZ"/>
        </w:rPr>
        <w:t xml:space="preserve">Recently the Principal Youth Court Judge for New Zealand, His Honour Judge Andrew Becroft, and his fellow judge </w:t>
      </w:r>
      <w:r w:rsidR="002D4AA1" w:rsidRPr="00355713">
        <w:rPr>
          <w:noProof/>
          <w:lang w:val="en-NZ" w:eastAsia="en-NZ"/>
        </w:rPr>
        <w:t>Heemi Taumaumu recently attended a First Nations Conference in Canada at the University of British Columbia, presenting on the Rangatahi Court. There is international interest in similar work being pioneered in both Canada and Australia.</w:t>
      </w:r>
    </w:p>
    <w:p w:rsidR="00355713" w:rsidRPr="00355713" w:rsidRDefault="00355713" w:rsidP="00355713">
      <w:pPr>
        <w:pStyle w:val="PlainText"/>
        <w:rPr>
          <w:rFonts w:asciiTheme="minorHAnsi" w:hAnsiTheme="minorHAnsi" w:cstheme="minorHAnsi"/>
        </w:rPr>
      </w:pPr>
      <w:r w:rsidRPr="00355713">
        <w:rPr>
          <w:rFonts w:asciiTheme="minorHAnsi" w:hAnsiTheme="minorHAnsi" w:cstheme="minorHAnsi"/>
        </w:rPr>
        <w:t xml:space="preserve">The Ministry of Justice is doing a further evaluation of the </w:t>
      </w:r>
      <w:proofErr w:type="spellStart"/>
      <w:r w:rsidRPr="00355713">
        <w:rPr>
          <w:rFonts w:asciiTheme="minorHAnsi" w:hAnsiTheme="minorHAnsi" w:cstheme="minorHAnsi"/>
        </w:rPr>
        <w:t>Rangatahi</w:t>
      </w:r>
      <w:proofErr w:type="spellEnd"/>
      <w:r w:rsidRPr="00355713">
        <w:rPr>
          <w:rFonts w:asciiTheme="minorHAnsi" w:hAnsiTheme="minorHAnsi" w:cstheme="minorHAnsi"/>
        </w:rPr>
        <w:t xml:space="preserve"> Courts at this time however it will be several years before sufficient volumes have passed through the courts and time elapsed to make for a meaningful evaluation. </w:t>
      </w:r>
    </w:p>
    <w:p w:rsidR="00355713" w:rsidRPr="00F86F21" w:rsidRDefault="00355713" w:rsidP="00F86F21">
      <w:pPr>
        <w:jc w:val="both"/>
        <w:rPr>
          <w:noProof/>
          <w:lang w:val="en-NZ" w:eastAsia="en-NZ"/>
        </w:rPr>
      </w:pPr>
    </w:p>
    <w:p w:rsidR="006474B3" w:rsidRDefault="006474B3" w:rsidP="006474B3">
      <w:pPr>
        <w:pStyle w:val="Heading2"/>
        <w:numPr>
          <w:ilvl w:val="1"/>
          <w:numId w:val="1"/>
        </w:numPr>
      </w:pPr>
      <w:r>
        <w:t xml:space="preserve"> </w:t>
      </w:r>
      <w:bookmarkStart w:id="5" w:name="_Toc400525435"/>
      <w:r w:rsidR="00E91F3F">
        <w:t>Iwi Co-facilitation</w:t>
      </w:r>
      <w:bookmarkEnd w:id="5"/>
    </w:p>
    <w:p w:rsidR="001E7903" w:rsidRPr="001E7903" w:rsidRDefault="001E7903" w:rsidP="001E7903">
      <w:pPr>
        <w:jc w:val="both"/>
        <w:rPr>
          <w:noProof/>
          <w:lang w:val="en-NZ" w:eastAsia="en-NZ"/>
        </w:rPr>
      </w:pPr>
      <w:r w:rsidRPr="001E7903">
        <w:rPr>
          <w:noProof/>
          <w:lang w:val="en-NZ" w:eastAsia="en-NZ"/>
        </w:rPr>
        <w:t>The term ‘co facilitation’ is used to describe the different ways iwi may choose to engage in the F</w:t>
      </w:r>
      <w:r>
        <w:rPr>
          <w:noProof/>
          <w:lang w:val="en-NZ" w:eastAsia="en-NZ"/>
        </w:rPr>
        <w:t xml:space="preserve">amily </w:t>
      </w:r>
      <w:r w:rsidRPr="001E7903">
        <w:rPr>
          <w:noProof/>
          <w:lang w:val="en-NZ" w:eastAsia="en-NZ"/>
        </w:rPr>
        <w:t>G</w:t>
      </w:r>
      <w:r>
        <w:rPr>
          <w:noProof/>
          <w:lang w:val="en-NZ" w:eastAsia="en-NZ"/>
        </w:rPr>
        <w:t xml:space="preserve">roup </w:t>
      </w:r>
      <w:r w:rsidRPr="001E7903">
        <w:rPr>
          <w:noProof/>
          <w:lang w:val="en-NZ" w:eastAsia="en-NZ"/>
        </w:rPr>
        <w:t>C</w:t>
      </w:r>
      <w:r>
        <w:rPr>
          <w:noProof/>
          <w:lang w:val="en-NZ" w:eastAsia="en-NZ"/>
        </w:rPr>
        <w:t>onference</w:t>
      </w:r>
      <w:r w:rsidRPr="001E7903">
        <w:rPr>
          <w:noProof/>
          <w:lang w:val="en-NZ" w:eastAsia="en-NZ"/>
        </w:rPr>
        <w:t xml:space="preserve"> process, which includes preparation, holding, monitoring and reviewing. Whilst the current </w:t>
      </w:r>
      <w:r>
        <w:rPr>
          <w:noProof/>
          <w:lang w:val="en-NZ" w:eastAsia="en-NZ"/>
        </w:rPr>
        <w:t xml:space="preserve">New Zealand </w:t>
      </w:r>
      <w:r w:rsidRPr="001E7903">
        <w:rPr>
          <w:noProof/>
          <w:lang w:val="en-NZ" w:eastAsia="en-NZ"/>
        </w:rPr>
        <w:t>legislation does not allow for the appointment of external coordinators, there is room for increased connection with iwi that is not limited only to the actual meeting.</w:t>
      </w:r>
    </w:p>
    <w:p w:rsidR="001E7903" w:rsidRPr="001E7903" w:rsidRDefault="001E7903" w:rsidP="001E7903">
      <w:pPr>
        <w:jc w:val="both"/>
        <w:rPr>
          <w:noProof/>
          <w:lang w:val="en-NZ" w:eastAsia="en-NZ"/>
        </w:rPr>
      </w:pPr>
      <w:r w:rsidRPr="001E7903">
        <w:rPr>
          <w:noProof/>
          <w:lang w:val="en-NZ" w:eastAsia="en-NZ"/>
        </w:rPr>
        <w:t>The reinvigorating F</w:t>
      </w:r>
      <w:r>
        <w:rPr>
          <w:noProof/>
          <w:lang w:val="en-NZ" w:eastAsia="en-NZ"/>
        </w:rPr>
        <w:t xml:space="preserve">amily </w:t>
      </w:r>
      <w:r w:rsidRPr="001E7903">
        <w:rPr>
          <w:noProof/>
          <w:lang w:val="en-NZ" w:eastAsia="en-NZ"/>
        </w:rPr>
        <w:t>G</w:t>
      </w:r>
      <w:r>
        <w:rPr>
          <w:noProof/>
          <w:lang w:val="en-NZ" w:eastAsia="en-NZ"/>
        </w:rPr>
        <w:t xml:space="preserve">roup </w:t>
      </w:r>
      <w:r w:rsidRPr="001E7903">
        <w:rPr>
          <w:noProof/>
          <w:lang w:val="en-NZ" w:eastAsia="en-NZ"/>
        </w:rPr>
        <w:t>C</w:t>
      </w:r>
      <w:r>
        <w:rPr>
          <w:noProof/>
          <w:lang w:val="en-NZ" w:eastAsia="en-NZ"/>
        </w:rPr>
        <w:t>onference</w:t>
      </w:r>
      <w:r w:rsidRPr="001E7903">
        <w:rPr>
          <w:noProof/>
          <w:lang w:val="en-NZ" w:eastAsia="en-NZ"/>
        </w:rPr>
        <w:t xml:space="preserve"> project</w:t>
      </w:r>
      <w:r w:rsidR="00C45085">
        <w:rPr>
          <w:noProof/>
          <w:lang w:val="en-NZ" w:eastAsia="en-NZ"/>
        </w:rPr>
        <w:t xml:space="preserve"> </w:t>
      </w:r>
      <w:r w:rsidR="00C45085" w:rsidRPr="00355713">
        <w:rPr>
          <w:noProof/>
          <w:lang w:val="en-NZ" w:eastAsia="en-NZ"/>
        </w:rPr>
        <w:t>(see 2.2 below)</w:t>
      </w:r>
      <w:r w:rsidRPr="001E7903">
        <w:rPr>
          <w:noProof/>
          <w:lang w:val="en-NZ" w:eastAsia="en-NZ"/>
        </w:rPr>
        <w:t xml:space="preserve"> will pilot new models of convening and facilitating FGCs in partnership with iwi and will evaluate the effectiveness and outcomes of such conferences. The approach will be to work in partnership with iwi in a co facilitation model under the current legislation. We need to enhance practice and supporting processes, to encourage Māori mokopuna and whānau participation, and improve the FGC experience for them. The Chief Social Worker, summed up Māori responses received as part of the recent review:</w:t>
      </w:r>
    </w:p>
    <w:p w:rsidR="001E7903" w:rsidRPr="001E7903" w:rsidRDefault="001E7903" w:rsidP="001E7903">
      <w:pPr>
        <w:pStyle w:val="ListParagraph"/>
        <w:numPr>
          <w:ilvl w:val="0"/>
          <w:numId w:val="7"/>
        </w:numPr>
        <w:jc w:val="both"/>
        <w:rPr>
          <w:noProof/>
          <w:lang w:val="en-NZ" w:eastAsia="en-NZ"/>
        </w:rPr>
      </w:pPr>
      <w:r w:rsidRPr="001E7903">
        <w:rPr>
          <w:noProof/>
          <w:lang w:val="en-NZ" w:eastAsia="en-NZ"/>
        </w:rPr>
        <w:t xml:space="preserve">More could be done to engage whānau, hapū and iwi </w:t>
      </w:r>
    </w:p>
    <w:p w:rsidR="001E7903" w:rsidRPr="001E7903" w:rsidRDefault="001E7903" w:rsidP="001E7903">
      <w:pPr>
        <w:pStyle w:val="ListParagraph"/>
        <w:numPr>
          <w:ilvl w:val="0"/>
          <w:numId w:val="7"/>
        </w:numPr>
        <w:jc w:val="both"/>
        <w:rPr>
          <w:noProof/>
          <w:lang w:val="en-NZ" w:eastAsia="en-NZ"/>
        </w:rPr>
      </w:pPr>
      <w:r w:rsidRPr="001E7903">
        <w:rPr>
          <w:noProof/>
          <w:lang w:val="en-NZ" w:eastAsia="en-NZ"/>
        </w:rPr>
        <w:t xml:space="preserve">Whakapapa search needs strengthening </w:t>
      </w:r>
    </w:p>
    <w:p w:rsidR="001E7903" w:rsidRPr="001E7903" w:rsidRDefault="001E7903" w:rsidP="001E7903">
      <w:pPr>
        <w:pStyle w:val="ListParagraph"/>
        <w:numPr>
          <w:ilvl w:val="0"/>
          <w:numId w:val="7"/>
        </w:numPr>
        <w:jc w:val="both"/>
        <w:rPr>
          <w:noProof/>
          <w:lang w:val="en-NZ" w:eastAsia="en-NZ"/>
        </w:rPr>
      </w:pPr>
      <w:r w:rsidRPr="001E7903">
        <w:rPr>
          <w:noProof/>
          <w:lang w:val="en-NZ" w:eastAsia="en-NZ"/>
        </w:rPr>
        <w:t xml:space="preserve">Practice needs to reflect more strongly Māori values and traditions </w:t>
      </w:r>
    </w:p>
    <w:p w:rsidR="001E7903" w:rsidRPr="001E7903" w:rsidRDefault="001E7903" w:rsidP="001E7903">
      <w:pPr>
        <w:pStyle w:val="ListParagraph"/>
        <w:numPr>
          <w:ilvl w:val="0"/>
          <w:numId w:val="7"/>
        </w:numPr>
        <w:jc w:val="both"/>
        <w:rPr>
          <w:noProof/>
          <w:lang w:val="en-NZ" w:eastAsia="en-NZ"/>
        </w:rPr>
      </w:pPr>
      <w:r w:rsidRPr="001E7903">
        <w:rPr>
          <w:noProof/>
          <w:lang w:val="en-NZ" w:eastAsia="en-NZ"/>
        </w:rPr>
        <w:lastRenderedPageBreak/>
        <w:t xml:space="preserve">Practice needs to reflect partnership rather than be adversarial </w:t>
      </w:r>
    </w:p>
    <w:p w:rsidR="001E7903" w:rsidRPr="001E7903" w:rsidRDefault="001E7903" w:rsidP="001E7903">
      <w:pPr>
        <w:jc w:val="both"/>
        <w:rPr>
          <w:noProof/>
          <w:lang w:val="en-NZ" w:eastAsia="en-NZ"/>
        </w:rPr>
      </w:pPr>
      <w:r w:rsidRPr="001E7903">
        <w:rPr>
          <w:noProof/>
          <w:lang w:val="en-NZ" w:eastAsia="en-NZ"/>
        </w:rPr>
        <w:t>Meetings have been held with</w:t>
      </w:r>
      <w:r w:rsidR="002D4AA1">
        <w:rPr>
          <w:noProof/>
          <w:lang w:val="en-NZ" w:eastAsia="en-NZ"/>
        </w:rPr>
        <w:t xml:space="preserve"> </w:t>
      </w:r>
      <w:r w:rsidR="002D4AA1" w:rsidRPr="00F83E68">
        <w:rPr>
          <w:noProof/>
          <w:lang w:val="en-NZ" w:eastAsia="en-NZ"/>
        </w:rPr>
        <w:t>four iwi,</w:t>
      </w:r>
      <w:r w:rsidRPr="001E7903">
        <w:rPr>
          <w:noProof/>
          <w:lang w:val="en-NZ" w:eastAsia="en-NZ"/>
        </w:rPr>
        <w:t xml:space="preserve"> Ngati Porou, Ngai Tuhoe, Waikato-Tainui and Nga Puhi regarding the co facilitation of family group conferences. Iwi have expressed an interest in a stronger involvement in the FGC process and specific meetings have been had with Ngati Porou, Ngai Tuhoe and local CYF managers to progress this.</w:t>
      </w:r>
    </w:p>
    <w:p w:rsidR="009218BC" w:rsidRPr="009218BC" w:rsidRDefault="001E7903" w:rsidP="009218BC">
      <w:pPr>
        <w:jc w:val="both"/>
        <w:rPr>
          <w:noProof/>
          <w:lang w:val="en-NZ" w:eastAsia="en-NZ"/>
        </w:rPr>
      </w:pPr>
      <w:r w:rsidRPr="001E7903">
        <w:rPr>
          <w:noProof/>
          <w:lang w:val="en-NZ" w:eastAsia="en-NZ"/>
        </w:rPr>
        <w:t>Steps are underway for piloting a co facilitation model for 'Intention to Charge' FGCs, which has been developed by Tairawhiti Youth Justice and Ngati Porou.</w:t>
      </w:r>
    </w:p>
    <w:p w:rsidR="006C41E5" w:rsidRDefault="002910D0" w:rsidP="00C77065">
      <w:pPr>
        <w:pStyle w:val="Heading1"/>
        <w:numPr>
          <w:ilvl w:val="0"/>
          <w:numId w:val="1"/>
        </w:numPr>
      </w:pPr>
      <w:bookmarkStart w:id="6" w:name="_Toc400525436"/>
      <w:r>
        <w:t>Youth Justice Initiatives</w:t>
      </w:r>
      <w:bookmarkEnd w:id="6"/>
    </w:p>
    <w:p w:rsidR="006C41E5" w:rsidRDefault="002910D0" w:rsidP="00C77065">
      <w:pPr>
        <w:pStyle w:val="Heading2"/>
        <w:numPr>
          <w:ilvl w:val="1"/>
          <w:numId w:val="1"/>
        </w:numPr>
      </w:pPr>
      <w:r>
        <w:t xml:space="preserve"> </w:t>
      </w:r>
      <w:bookmarkStart w:id="7" w:name="_Toc400525437"/>
      <w:r>
        <w:t>Fresh Start</w:t>
      </w:r>
      <w:bookmarkEnd w:id="7"/>
    </w:p>
    <w:p w:rsidR="009218BC" w:rsidRPr="001D3CF3" w:rsidRDefault="00521BE0" w:rsidP="0071555D">
      <w:pPr>
        <w:jc w:val="both"/>
      </w:pPr>
      <w:r>
        <w:t>In 2013-2014</w:t>
      </w:r>
      <w:r w:rsidR="009218BC" w:rsidRPr="001D3CF3">
        <w:t>, the number of young offenders</w:t>
      </w:r>
      <w:r w:rsidR="009218BC" w:rsidRPr="001D3CF3">
        <w:rPr>
          <w:rStyle w:val="FootnoteReference"/>
        </w:rPr>
        <w:footnoteReference w:id="1"/>
      </w:r>
      <w:r w:rsidR="009218BC" w:rsidRPr="001D3CF3">
        <w:t xml:space="preserve"> participating in Fresh Start programmes included:</w:t>
      </w:r>
    </w:p>
    <w:p w:rsidR="009218BC" w:rsidRPr="001D3CF3" w:rsidRDefault="009D1B1C" w:rsidP="0071555D">
      <w:pPr>
        <w:pStyle w:val="ListParagraph"/>
        <w:numPr>
          <w:ilvl w:val="0"/>
          <w:numId w:val="20"/>
        </w:numPr>
        <w:spacing w:before="120" w:after="0"/>
        <w:jc w:val="both"/>
      </w:pPr>
      <w:r w:rsidRPr="009D1B1C">
        <w:t>297</w:t>
      </w:r>
      <w:r w:rsidR="009218BC" w:rsidRPr="009D1B1C">
        <w:t xml:space="preserve"> low</w:t>
      </w:r>
      <w:r w:rsidR="009218BC" w:rsidRPr="001D3CF3">
        <w:t>-level offenders in community youth development programmes to develop positive social attitudes, values and behaviours</w:t>
      </w:r>
    </w:p>
    <w:p w:rsidR="009218BC" w:rsidRPr="001D3CF3" w:rsidRDefault="009D1B1C" w:rsidP="0071555D">
      <w:pPr>
        <w:pStyle w:val="ListParagraph"/>
        <w:numPr>
          <w:ilvl w:val="0"/>
          <w:numId w:val="20"/>
        </w:numPr>
        <w:spacing w:before="120" w:after="0"/>
        <w:jc w:val="both"/>
      </w:pPr>
      <w:r w:rsidRPr="009D1B1C">
        <w:t>622</w:t>
      </w:r>
      <w:r w:rsidR="009218BC" w:rsidRPr="009D1B1C">
        <w:t xml:space="preserve"> in</w:t>
      </w:r>
      <w:r w:rsidR="009218BC" w:rsidRPr="001D3CF3">
        <w:t xml:space="preserve"> mentoring programmes that provided individualised and intensive support and guidance</w:t>
      </w:r>
    </w:p>
    <w:p w:rsidR="009218BC" w:rsidRPr="001D3CF3" w:rsidRDefault="009D1B1C" w:rsidP="0071555D">
      <w:pPr>
        <w:pStyle w:val="ListParagraph"/>
        <w:numPr>
          <w:ilvl w:val="0"/>
          <w:numId w:val="20"/>
        </w:numPr>
        <w:spacing w:before="120" w:after="0"/>
        <w:jc w:val="both"/>
      </w:pPr>
      <w:r>
        <w:t>184</w:t>
      </w:r>
      <w:r w:rsidR="009218BC" w:rsidRPr="001D3CF3">
        <w:t xml:space="preserve"> in parenting education programmes to develop parenting skills</w:t>
      </w:r>
    </w:p>
    <w:p w:rsidR="009218BC" w:rsidRPr="001D3CF3" w:rsidRDefault="009D1B1C" w:rsidP="0071555D">
      <w:pPr>
        <w:pStyle w:val="ListParagraph"/>
        <w:numPr>
          <w:ilvl w:val="0"/>
          <w:numId w:val="20"/>
        </w:numPr>
        <w:spacing w:before="120" w:after="0"/>
        <w:jc w:val="both"/>
      </w:pPr>
      <w:r>
        <w:t>281</w:t>
      </w:r>
      <w:r w:rsidR="009218BC" w:rsidRPr="001D3CF3">
        <w:t xml:space="preserve"> in</w:t>
      </w:r>
      <w:r>
        <w:t xml:space="preserve"> community day programmes and 50</w:t>
      </w:r>
      <w:r w:rsidR="009218BC" w:rsidRPr="001D3CF3">
        <w:t xml:space="preserve"> in residential programmes to help with alcohol or drug addictions</w:t>
      </w:r>
    </w:p>
    <w:p w:rsidR="009218BC" w:rsidRPr="001D3CF3" w:rsidRDefault="009D1B1C" w:rsidP="0071555D">
      <w:pPr>
        <w:pStyle w:val="ListParagraph"/>
        <w:numPr>
          <w:ilvl w:val="0"/>
          <w:numId w:val="20"/>
        </w:numPr>
        <w:spacing w:before="120" w:after="240"/>
        <w:ind w:left="357" w:hanging="357"/>
        <w:jc w:val="both"/>
      </w:pPr>
      <w:r>
        <w:t>221</w:t>
      </w:r>
      <w:r w:rsidR="009218BC" w:rsidRPr="001D3CF3">
        <w:t xml:space="preserve"> on Supported Bail with intensive community-based support and services to reduce the likelihood of offending on bail and a subsequent remand to a Youth Justice Residence.</w:t>
      </w:r>
    </w:p>
    <w:p w:rsidR="009218BC" w:rsidRPr="001D3CF3" w:rsidRDefault="009218BC" w:rsidP="0071555D">
      <w:pPr>
        <w:spacing w:after="240"/>
        <w:jc w:val="both"/>
      </w:pPr>
      <w:r w:rsidRPr="001D3CF3">
        <w:t>The Fresh Start programme targets young offenders, holds them accountable for their offending and manages the risk of them reoffending in their communities.</w:t>
      </w:r>
    </w:p>
    <w:p w:rsidR="009218BC" w:rsidRPr="009218BC" w:rsidRDefault="009218BC" w:rsidP="009218BC">
      <w:pPr>
        <w:pStyle w:val="Heading2"/>
        <w:numPr>
          <w:ilvl w:val="1"/>
          <w:numId w:val="1"/>
        </w:numPr>
      </w:pPr>
      <w:r>
        <w:t xml:space="preserve"> </w:t>
      </w:r>
      <w:bookmarkStart w:id="8" w:name="_Toc400525438"/>
      <w:r w:rsidR="0071555D">
        <w:t xml:space="preserve">Reinvigorating the </w:t>
      </w:r>
      <w:r w:rsidRPr="009218BC">
        <w:t>Youth Justice Family Group Conference</w:t>
      </w:r>
      <w:bookmarkEnd w:id="8"/>
    </w:p>
    <w:p w:rsidR="009218BC" w:rsidRPr="001D3CF3" w:rsidRDefault="009218BC" w:rsidP="0071555D">
      <w:pPr>
        <w:jc w:val="both"/>
      </w:pPr>
      <w:r w:rsidRPr="001D3CF3">
        <w:t>A Youth Justice Family Group Conference (YJFGC) is a meeting between a young offender, their family, victims and stakeholders such as the Police, a social worker or a youth advocate. The purpose is to discuss how to address the young person’s offending.</w:t>
      </w:r>
    </w:p>
    <w:p w:rsidR="009218BC" w:rsidRPr="001D3CF3" w:rsidRDefault="009218BC" w:rsidP="0071555D">
      <w:pPr>
        <w:jc w:val="both"/>
      </w:pPr>
      <w:r w:rsidRPr="001D3CF3">
        <w:t>The YJFGC process allows us to step in early before offending escalates. Following a Family Group Conference, most young people do not come back to our attention within a year of the offending.</w:t>
      </w:r>
    </w:p>
    <w:p w:rsidR="009218BC" w:rsidRPr="001D3CF3" w:rsidRDefault="00521BE0" w:rsidP="0071555D">
      <w:pPr>
        <w:jc w:val="both"/>
      </w:pPr>
      <w:r>
        <w:t>In 2013-2014, we held 5,633</w:t>
      </w:r>
      <w:r w:rsidR="009218BC" w:rsidRPr="001D3CF3">
        <w:t xml:space="preserve"> YJFGCs</w:t>
      </w:r>
      <w:r w:rsidR="009218BC" w:rsidRPr="001D3CF3">
        <w:rPr>
          <w:rStyle w:val="FootnoteReference"/>
        </w:rPr>
        <w:footnoteReference w:id="2"/>
      </w:r>
      <w:r w:rsidR="009218BC" w:rsidRPr="001D3CF3">
        <w:t xml:space="preserve">. We prepared YJFGC Plans </w:t>
      </w:r>
      <w:r w:rsidR="009218BC" w:rsidRPr="000F4D71">
        <w:t>for 3,</w:t>
      </w:r>
      <w:r w:rsidR="000F4D71" w:rsidRPr="000F4D71">
        <w:t>213</w:t>
      </w:r>
      <w:r w:rsidR="009218BC" w:rsidRPr="000F4D71">
        <w:t xml:space="preserve"> children</w:t>
      </w:r>
      <w:r w:rsidR="009218BC" w:rsidRPr="001D3CF3">
        <w:t xml:space="preserve"> and young people, of </w:t>
      </w:r>
      <w:r w:rsidR="009218BC" w:rsidRPr="000F4D71">
        <w:t xml:space="preserve">whom </w:t>
      </w:r>
      <w:r w:rsidR="000F4D71" w:rsidRPr="000F4D71">
        <w:t>96</w:t>
      </w:r>
      <w:r w:rsidR="009218BC" w:rsidRPr="000F4D71">
        <w:t xml:space="preserve"> per</w:t>
      </w:r>
      <w:r w:rsidR="009218BC" w:rsidRPr="001D3CF3">
        <w:t xml:space="preserve"> cent met the objectives of their plans</w:t>
      </w:r>
      <w:r w:rsidR="009218BC" w:rsidRPr="001D3CF3">
        <w:rPr>
          <w:rStyle w:val="FootnoteReference"/>
        </w:rPr>
        <w:footnoteReference w:id="3"/>
      </w:r>
      <w:r w:rsidR="009218BC" w:rsidRPr="001D3CF3">
        <w:t xml:space="preserve">. </w:t>
      </w:r>
      <w:r w:rsidR="006D057F">
        <w:t xml:space="preserve">There was a total of </w:t>
      </w:r>
      <w:r w:rsidR="006D057F" w:rsidRPr="00DB44D4">
        <w:t>9,350</w:t>
      </w:r>
      <w:r w:rsidR="006D057F" w:rsidRPr="001D3CF3">
        <w:t xml:space="preserve"> </w:t>
      </w:r>
      <w:r w:rsidR="006D057F">
        <w:t xml:space="preserve">victims identified, and </w:t>
      </w:r>
      <w:r w:rsidR="006D057F" w:rsidRPr="00DB44D4">
        <w:t>1,929 (</w:t>
      </w:r>
      <w:r w:rsidR="006D057F">
        <w:t>21</w:t>
      </w:r>
      <w:r w:rsidR="006D057F" w:rsidRPr="001D3CF3">
        <w:t xml:space="preserve"> per cent) </w:t>
      </w:r>
      <w:r w:rsidR="006D057F">
        <w:t xml:space="preserve">took part in </w:t>
      </w:r>
      <w:r w:rsidR="009218BC" w:rsidRPr="001D3CF3">
        <w:t>YJ FGCs</w:t>
      </w:r>
      <w:r w:rsidR="009218BC" w:rsidRPr="001D3CF3">
        <w:rPr>
          <w:rStyle w:val="FootnoteReference"/>
        </w:rPr>
        <w:footnoteReference w:id="4"/>
      </w:r>
      <w:r w:rsidR="009218BC" w:rsidRPr="001D3CF3">
        <w:t>.</w:t>
      </w:r>
    </w:p>
    <w:p w:rsidR="009218BC" w:rsidRPr="001D3CF3" w:rsidRDefault="009218BC" w:rsidP="009218BC">
      <w:pPr>
        <w:jc w:val="both"/>
      </w:pPr>
      <w:r w:rsidRPr="001D3CF3">
        <w:t>We are currently reviewing our delivery of YJFGCs, looking at:</w:t>
      </w:r>
    </w:p>
    <w:p w:rsidR="009218BC" w:rsidRPr="001D3CF3" w:rsidRDefault="009218BC" w:rsidP="009218BC">
      <w:pPr>
        <w:pStyle w:val="ListParagraph"/>
        <w:numPr>
          <w:ilvl w:val="0"/>
          <w:numId w:val="21"/>
        </w:numPr>
        <w:spacing w:before="120" w:after="0" w:line="240" w:lineRule="auto"/>
        <w:jc w:val="both"/>
      </w:pPr>
      <w:r w:rsidRPr="001D3CF3">
        <w:lastRenderedPageBreak/>
        <w:t>new YJFGC standards</w:t>
      </w:r>
    </w:p>
    <w:p w:rsidR="009218BC" w:rsidRPr="001D3CF3" w:rsidRDefault="009218BC" w:rsidP="009218BC">
      <w:pPr>
        <w:pStyle w:val="ListParagraph"/>
        <w:numPr>
          <w:ilvl w:val="0"/>
          <w:numId w:val="21"/>
        </w:numPr>
        <w:spacing w:before="120" w:after="0" w:line="240" w:lineRule="auto"/>
        <w:jc w:val="both"/>
      </w:pPr>
      <w:r w:rsidRPr="001D3CF3">
        <w:t>more support and training for Youth Justice co-ordinators, in particular training on the new assessment framework (</w:t>
      </w:r>
      <w:proofErr w:type="spellStart"/>
      <w:r w:rsidRPr="001D3CF3">
        <w:t>Tuituia</w:t>
      </w:r>
      <w:proofErr w:type="spellEnd"/>
      <w:r w:rsidRPr="001D3CF3">
        <w:t>) process</w:t>
      </w:r>
    </w:p>
    <w:p w:rsidR="009218BC" w:rsidRPr="001D3CF3" w:rsidRDefault="009218BC" w:rsidP="009218BC">
      <w:pPr>
        <w:pStyle w:val="ListParagraph"/>
        <w:numPr>
          <w:ilvl w:val="0"/>
          <w:numId w:val="21"/>
        </w:numPr>
        <w:spacing w:before="120" w:after="0" w:line="240" w:lineRule="auto"/>
        <w:jc w:val="both"/>
      </w:pPr>
      <w:r w:rsidRPr="001D3CF3">
        <w:t>more victims and other key attendees taking part in Family Group Conferences</w:t>
      </w:r>
    </w:p>
    <w:p w:rsidR="002910D0" w:rsidRDefault="009218BC" w:rsidP="009218BC">
      <w:pPr>
        <w:pStyle w:val="ListParagraph"/>
        <w:numPr>
          <w:ilvl w:val="0"/>
          <w:numId w:val="21"/>
        </w:numPr>
        <w:spacing w:before="120" w:after="0" w:line="240" w:lineRule="auto"/>
        <w:jc w:val="both"/>
      </w:pPr>
      <w:proofErr w:type="gramStart"/>
      <w:r w:rsidRPr="001D3CF3">
        <w:t>an</w:t>
      </w:r>
      <w:proofErr w:type="gramEnd"/>
      <w:r w:rsidRPr="001D3CF3">
        <w:t xml:space="preserve"> earlier, more integrated care and protection response to reduce the number of children entering the youth justice system.</w:t>
      </w:r>
    </w:p>
    <w:p w:rsidR="0071555D" w:rsidRPr="001D3CF3" w:rsidRDefault="0071555D" w:rsidP="0071555D">
      <w:pPr>
        <w:pStyle w:val="ListParagraph"/>
        <w:spacing w:before="120" w:after="0" w:line="240" w:lineRule="auto"/>
        <w:ind w:left="360"/>
        <w:jc w:val="both"/>
      </w:pPr>
    </w:p>
    <w:p w:rsidR="0071555D" w:rsidRDefault="0071555D" w:rsidP="0071555D">
      <w:pPr>
        <w:pStyle w:val="Heading2"/>
        <w:numPr>
          <w:ilvl w:val="1"/>
          <w:numId w:val="1"/>
        </w:numPr>
      </w:pPr>
      <w:r>
        <w:t xml:space="preserve">  </w:t>
      </w:r>
      <w:bookmarkStart w:id="9" w:name="_Toc400525439"/>
      <w:r>
        <w:t>The Youth Crime Action Plan</w:t>
      </w:r>
      <w:r w:rsidR="00DE5C48">
        <w:t xml:space="preserve"> (YCAP)</w:t>
      </w:r>
      <w:bookmarkEnd w:id="9"/>
    </w:p>
    <w:p w:rsidR="0071555D" w:rsidRPr="00C64AA4" w:rsidRDefault="0071555D" w:rsidP="0071555D">
      <w:pPr>
        <w:pStyle w:val="PlainText"/>
        <w:spacing w:line="276" w:lineRule="auto"/>
        <w:jc w:val="both"/>
        <w:rPr>
          <w:rFonts w:asciiTheme="minorHAnsi" w:hAnsiTheme="minorHAnsi" w:cstheme="minorHAnsi"/>
          <w:szCs w:val="22"/>
        </w:rPr>
      </w:pPr>
      <w:r w:rsidRPr="00C64AA4">
        <w:rPr>
          <w:rFonts w:asciiTheme="minorHAnsi" w:hAnsiTheme="minorHAnsi" w:cstheme="minorHAnsi"/>
          <w:szCs w:val="22"/>
        </w:rPr>
        <w:t xml:space="preserve">The New Zealand government has identified 10 </w:t>
      </w:r>
      <w:r w:rsidRPr="00C64AA4">
        <w:rPr>
          <w:rFonts w:asciiTheme="minorHAnsi" w:hAnsiTheme="minorHAnsi" w:cstheme="minorHAnsi"/>
          <w:i/>
          <w:szCs w:val="22"/>
        </w:rPr>
        <w:t xml:space="preserve">Better Public Services </w:t>
      </w:r>
      <w:r w:rsidRPr="00C64AA4">
        <w:rPr>
          <w:rFonts w:asciiTheme="minorHAnsi" w:hAnsiTheme="minorHAnsi" w:cstheme="minorHAnsi"/>
          <w:szCs w:val="22"/>
        </w:rPr>
        <w:t xml:space="preserve">(BPS) targets for the State Agencies.  There are two that relate to offending behaviour one of which relates to youth offending.  The expectation is that youth offending will reduce by 25% by 2017.  The main way that this will be measured (although not exclusively) is through reducing the volume of young people appearing </w:t>
      </w:r>
      <w:r w:rsidR="00DE5C48">
        <w:rPr>
          <w:rFonts w:asciiTheme="minorHAnsi" w:hAnsiTheme="minorHAnsi" w:cstheme="minorHAnsi"/>
          <w:szCs w:val="22"/>
        </w:rPr>
        <w:t xml:space="preserve">in </w:t>
      </w:r>
      <w:r w:rsidRPr="00C64AA4">
        <w:rPr>
          <w:rFonts w:asciiTheme="minorHAnsi" w:hAnsiTheme="minorHAnsi" w:cstheme="minorHAnsi"/>
          <w:szCs w:val="22"/>
        </w:rPr>
        <w:t>Youth Court.  It should be noted that detected youth crime has dropped significant</w:t>
      </w:r>
      <w:r w:rsidR="00F83E68">
        <w:rPr>
          <w:rFonts w:asciiTheme="minorHAnsi" w:hAnsiTheme="minorHAnsi" w:cstheme="minorHAnsi"/>
          <w:szCs w:val="22"/>
        </w:rPr>
        <w:t>ly in the last three years.  The target has</w:t>
      </w:r>
      <w:r w:rsidRPr="00C64AA4">
        <w:rPr>
          <w:rFonts w:asciiTheme="minorHAnsi" w:hAnsiTheme="minorHAnsi" w:cstheme="minorHAnsi"/>
          <w:szCs w:val="22"/>
        </w:rPr>
        <w:t xml:space="preserve"> be</w:t>
      </w:r>
      <w:r w:rsidR="00F83E68">
        <w:rPr>
          <w:rFonts w:asciiTheme="minorHAnsi" w:hAnsiTheme="minorHAnsi" w:cstheme="minorHAnsi"/>
          <w:szCs w:val="22"/>
        </w:rPr>
        <w:t>en</w:t>
      </w:r>
      <w:r w:rsidRPr="00C64AA4">
        <w:rPr>
          <w:rFonts w:asciiTheme="minorHAnsi" w:hAnsiTheme="minorHAnsi" w:cstheme="minorHAnsi"/>
          <w:szCs w:val="22"/>
        </w:rPr>
        <w:t xml:space="preserve"> met earlier than the projected date.</w:t>
      </w:r>
      <w:r w:rsidR="00F83E68">
        <w:rPr>
          <w:rFonts w:asciiTheme="minorHAnsi" w:hAnsiTheme="minorHAnsi" w:cstheme="minorHAnsi"/>
          <w:szCs w:val="22"/>
        </w:rPr>
        <w:t xml:space="preserve">  A new target is likely to be set in the </w:t>
      </w:r>
      <w:proofErr w:type="gramStart"/>
      <w:r w:rsidR="00F83E68">
        <w:rPr>
          <w:rFonts w:asciiTheme="minorHAnsi" w:hAnsiTheme="minorHAnsi" w:cstheme="minorHAnsi"/>
          <w:szCs w:val="22"/>
        </w:rPr>
        <w:t>new year</w:t>
      </w:r>
      <w:proofErr w:type="gramEnd"/>
      <w:r w:rsidR="00F83E68">
        <w:rPr>
          <w:rFonts w:asciiTheme="minorHAnsi" w:hAnsiTheme="minorHAnsi" w:cstheme="minorHAnsi"/>
          <w:szCs w:val="22"/>
        </w:rPr>
        <w:t xml:space="preserve"> once the sustainability of the current gains is established.</w:t>
      </w:r>
      <w:r w:rsidRPr="00C64AA4">
        <w:rPr>
          <w:rFonts w:asciiTheme="minorHAnsi" w:hAnsiTheme="minorHAnsi" w:cstheme="minorHAnsi"/>
          <w:szCs w:val="22"/>
        </w:rPr>
        <w:t xml:space="preserve">  </w:t>
      </w:r>
    </w:p>
    <w:p w:rsidR="0071555D" w:rsidRPr="00C64AA4" w:rsidRDefault="0071555D" w:rsidP="0071555D">
      <w:pPr>
        <w:pStyle w:val="PlainText"/>
        <w:spacing w:line="276" w:lineRule="auto"/>
        <w:jc w:val="both"/>
        <w:rPr>
          <w:rFonts w:asciiTheme="minorHAnsi" w:hAnsiTheme="minorHAnsi" w:cstheme="minorHAnsi"/>
          <w:szCs w:val="22"/>
        </w:rPr>
      </w:pPr>
    </w:p>
    <w:p w:rsidR="0071555D" w:rsidRPr="00C64AA4" w:rsidRDefault="0071555D" w:rsidP="0071555D">
      <w:pPr>
        <w:pStyle w:val="PlainText"/>
        <w:spacing w:line="276" w:lineRule="auto"/>
        <w:jc w:val="both"/>
        <w:rPr>
          <w:rFonts w:asciiTheme="minorHAnsi" w:hAnsiTheme="minorHAnsi" w:cstheme="minorHAnsi"/>
          <w:szCs w:val="22"/>
        </w:rPr>
      </w:pPr>
      <w:r w:rsidRPr="00C64AA4">
        <w:rPr>
          <w:rFonts w:asciiTheme="minorHAnsi" w:hAnsiTheme="minorHAnsi" w:cstheme="minorHAnsi"/>
          <w:szCs w:val="22"/>
        </w:rPr>
        <w:t xml:space="preserve">The strategy for meeting the BPS target is </w:t>
      </w:r>
      <w:r w:rsidR="00AD6774">
        <w:rPr>
          <w:rFonts w:asciiTheme="minorHAnsi" w:hAnsiTheme="minorHAnsi" w:cstheme="minorHAnsi"/>
          <w:szCs w:val="22"/>
        </w:rPr>
        <w:t xml:space="preserve">the </w:t>
      </w:r>
      <w:r w:rsidRPr="00C64AA4">
        <w:rPr>
          <w:rFonts w:asciiTheme="minorHAnsi" w:hAnsiTheme="minorHAnsi" w:cstheme="minorHAnsi"/>
          <w:szCs w:val="22"/>
        </w:rPr>
        <w:t>Youth Crime Action Plan.</w:t>
      </w:r>
    </w:p>
    <w:p w:rsidR="0071555D" w:rsidRPr="00C64AA4" w:rsidRDefault="0071555D" w:rsidP="0071555D">
      <w:pPr>
        <w:pStyle w:val="PlainText"/>
        <w:spacing w:line="276" w:lineRule="auto"/>
        <w:jc w:val="both"/>
        <w:rPr>
          <w:rFonts w:asciiTheme="minorHAnsi" w:hAnsiTheme="minorHAnsi" w:cstheme="minorHAnsi"/>
          <w:szCs w:val="22"/>
        </w:rPr>
      </w:pPr>
    </w:p>
    <w:p w:rsidR="0071555D" w:rsidRPr="00C64AA4" w:rsidRDefault="0071555D" w:rsidP="0071555D">
      <w:pPr>
        <w:pStyle w:val="PlainText"/>
        <w:spacing w:line="276" w:lineRule="auto"/>
        <w:jc w:val="both"/>
        <w:rPr>
          <w:rFonts w:asciiTheme="minorHAnsi" w:hAnsiTheme="minorHAnsi" w:cstheme="minorHAnsi"/>
          <w:szCs w:val="22"/>
        </w:rPr>
      </w:pPr>
      <w:r w:rsidRPr="00C64AA4">
        <w:rPr>
          <w:rFonts w:asciiTheme="minorHAnsi" w:hAnsiTheme="minorHAnsi" w:cstheme="minorHAnsi"/>
          <w:szCs w:val="22"/>
        </w:rPr>
        <w:t xml:space="preserve">The YCAP is a 10 year strategy which has three elements:  </w:t>
      </w:r>
    </w:p>
    <w:p w:rsidR="0071555D" w:rsidRPr="00C64AA4" w:rsidRDefault="0071555D" w:rsidP="0071555D">
      <w:pPr>
        <w:pStyle w:val="PlainText"/>
        <w:spacing w:line="276" w:lineRule="auto"/>
        <w:jc w:val="both"/>
        <w:rPr>
          <w:rFonts w:asciiTheme="minorHAnsi" w:hAnsiTheme="minorHAnsi" w:cstheme="minorHAnsi"/>
          <w:szCs w:val="22"/>
        </w:rPr>
      </w:pPr>
    </w:p>
    <w:p w:rsidR="0071555D" w:rsidRPr="00C64AA4" w:rsidRDefault="0071555D" w:rsidP="0071555D">
      <w:pPr>
        <w:pStyle w:val="PlainText"/>
        <w:numPr>
          <w:ilvl w:val="0"/>
          <w:numId w:val="22"/>
        </w:numPr>
        <w:spacing w:line="276" w:lineRule="auto"/>
        <w:jc w:val="both"/>
        <w:rPr>
          <w:rFonts w:asciiTheme="minorHAnsi" w:hAnsiTheme="minorHAnsi" w:cstheme="minorHAnsi"/>
          <w:szCs w:val="22"/>
        </w:rPr>
      </w:pPr>
      <w:r w:rsidRPr="00C64AA4">
        <w:rPr>
          <w:rFonts w:asciiTheme="minorHAnsi" w:hAnsiTheme="minorHAnsi" w:cstheme="minorHAnsi"/>
          <w:b/>
          <w:szCs w:val="22"/>
        </w:rPr>
        <w:t>Reducing escalation</w:t>
      </w:r>
      <w:r w:rsidRPr="00C64AA4">
        <w:rPr>
          <w:rFonts w:asciiTheme="minorHAnsi" w:hAnsiTheme="minorHAnsi" w:cstheme="minorHAnsi"/>
          <w:szCs w:val="22"/>
        </w:rPr>
        <w:t xml:space="preserve"> which is focused on preventing young people from entering the formal justice system</w:t>
      </w:r>
    </w:p>
    <w:p w:rsidR="0071555D" w:rsidRPr="00C64AA4" w:rsidRDefault="0071555D" w:rsidP="0071555D">
      <w:pPr>
        <w:pStyle w:val="PlainText"/>
        <w:numPr>
          <w:ilvl w:val="0"/>
          <w:numId w:val="22"/>
        </w:numPr>
        <w:spacing w:line="276" w:lineRule="auto"/>
        <w:jc w:val="both"/>
        <w:rPr>
          <w:rFonts w:asciiTheme="minorHAnsi" w:hAnsiTheme="minorHAnsi" w:cstheme="minorHAnsi"/>
          <w:szCs w:val="22"/>
        </w:rPr>
      </w:pPr>
      <w:r w:rsidRPr="00C64AA4">
        <w:rPr>
          <w:rFonts w:asciiTheme="minorHAnsi" w:hAnsiTheme="minorHAnsi" w:cstheme="minorHAnsi"/>
          <w:b/>
          <w:szCs w:val="22"/>
        </w:rPr>
        <w:t>Early and sustainable exits</w:t>
      </w:r>
      <w:r w:rsidRPr="00C64AA4">
        <w:rPr>
          <w:rFonts w:asciiTheme="minorHAnsi" w:hAnsiTheme="minorHAnsi" w:cstheme="minorHAnsi"/>
          <w:szCs w:val="22"/>
        </w:rPr>
        <w:t xml:space="preserve"> for young people who have entered the justice system focused on ensuring th</w:t>
      </w:r>
      <w:r w:rsidR="00AD6774">
        <w:rPr>
          <w:rFonts w:asciiTheme="minorHAnsi" w:hAnsiTheme="minorHAnsi" w:cstheme="minorHAnsi"/>
          <w:szCs w:val="22"/>
        </w:rPr>
        <w:t>at the first intervention is</w:t>
      </w:r>
      <w:r w:rsidRPr="00C64AA4">
        <w:rPr>
          <w:rFonts w:asciiTheme="minorHAnsi" w:hAnsiTheme="minorHAnsi" w:cstheme="minorHAnsi"/>
          <w:szCs w:val="22"/>
        </w:rPr>
        <w:t xml:space="preserve"> effective and that any subsequent intervention if it needs to occur, is the most effective it can be</w:t>
      </w:r>
    </w:p>
    <w:p w:rsidR="0071555D" w:rsidRPr="00C64AA4" w:rsidRDefault="00AD6774" w:rsidP="0071555D">
      <w:pPr>
        <w:pStyle w:val="PlainText"/>
        <w:numPr>
          <w:ilvl w:val="0"/>
          <w:numId w:val="22"/>
        </w:numPr>
        <w:spacing w:line="276" w:lineRule="auto"/>
        <w:jc w:val="both"/>
        <w:rPr>
          <w:rFonts w:asciiTheme="minorHAnsi" w:hAnsiTheme="minorHAnsi" w:cstheme="minorHAnsi"/>
          <w:szCs w:val="22"/>
        </w:rPr>
      </w:pPr>
      <w:r>
        <w:rPr>
          <w:rFonts w:asciiTheme="minorHAnsi" w:hAnsiTheme="minorHAnsi" w:cstheme="minorHAnsi"/>
          <w:b/>
          <w:szCs w:val="22"/>
        </w:rPr>
        <w:t xml:space="preserve">Partnering with </w:t>
      </w:r>
      <w:proofErr w:type="gramStart"/>
      <w:r>
        <w:rPr>
          <w:rFonts w:asciiTheme="minorHAnsi" w:hAnsiTheme="minorHAnsi" w:cstheme="minorHAnsi"/>
          <w:b/>
          <w:szCs w:val="22"/>
        </w:rPr>
        <w:t>communities</w:t>
      </w:r>
      <w:r w:rsidR="0071555D" w:rsidRPr="00C64AA4">
        <w:rPr>
          <w:rFonts w:asciiTheme="minorHAnsi" w:hAnsiTheme="minorHAnsi" w:cstheme="minorHAnsi"/>
          <w:szCs w:val="22"/>
        </w:rPr>
        <w:t xml:space="preserve"> which recognises</w:t>
      </w:r>
      <w:proofErr w:type="gramEnd"/>
      <w:r w:rsidR="0071555D" w:rsidRPr="00C64AA4">
        <w:rPr>
          <w:rFonts w:asciiTheme="minorHAnsi" w:hAnsiTheme="minorHAnsi" w:cstheme="minorHAnsi"/>
          <w:szCs w:val="22"/>
        </w:rPr>
        <w:t xml:space="preserve"> that the state agencies need to work effectively in a coordinated and complimentary way with each other and their local communities if both other strategies are to be successful.</w:t>
      </w:r>
    </w:p>
    <w:p w:rsidR="0071555D" w:rsidRPr="00C64AA4" w:rsidRDefault="0071555D" w:rsidP="0071555D">
      <w:pPr>
        <w:pStyle w:val="PlainText"/>
        <w:spacing w:line="276" w:lineRule="auto"/>
        <w:jc w:val="both"/>
        <w:rPr>
          <w:rFonts w:asciiTheme="minorHAnsi" w:hAnsiTheme="minorHAnsi" w:cstheme="minorHAnsi"/>
          <w:szCs w:val="22"/>
        </w:rPr>
      </w:pPr>
    </w:p>
    <w:p w:rsidR="0071555D" w:rsidRPr="00C64AA4" w:rsidRDefault="0071555D" w:rsidP="0071555D">
      <w:pPr>
        <w:pStyle w:val="PlainText"/>
        <w:spacing w:line="276" w:lineRule="auto"/>
        <w:jc w:val="both"/>
        <w:rPr>
          <w:rFonts w:asciiTheme="minorHAnsi" w:hAnsiTheme="minorHAnsi" w:cstheme="minorHAnsi"/>
          <w:szCs w:val="22"/>
        </w:rPr>
      </w:pPr>
      <w:r w:rsidRPr="00C64AA4">
        <w:rPr>
          <w:rFonts w:asciiTheme="minorHAnsi" w:hAnsiTheme="minorHAnsi" w:cstheme="minorHAnsi"/>
          <w:szCs w:val="22"/>
        </w:rPr>
        <w:t xml:space="preserve">Underpinning the strategies are three building blocks: </w:t>
      </w:r>
    </w:p>
    <w:p w:rsidR="0071555D" w:rsidRPr="00C64AA4" w:rsidRDefault="0071555D" w:rsidP="0071555D">
      <w:pPr>
        <w:pStyle w:val="PlainText"/>
        <w:spacing w:line="276" w:lineRule="auto"/>
        <w:jc w:val="both"/>
        <w:rPr>
          <w:rFonts w:asciiTheme="minorHAnsi" w:hAnsiTheme="minorHAnsi" w:cstheme="minorHAnsi"/>
          <w:szCs w:val="22"/>
        </w:rPr>
      </w:pPr>
    </w:p>
    <w:p w:rsidR="0071555D" w:rsidRPr="00C64AA4" w:rsidRDefault="0071555D" w:rsidP="0071555D">
      <w:pPr>
        <w:pStyle w:val="PlainText"/>
        <w:numPr>
          <w:ilvl w:val="0"/>
          <w:numId w:val="23"/>
        </w:numPr>
        <w:spacing w:line="276" w:lineRule="auto"/>
        <w:jc w:val="both"/>
        <w:rPr>
          <w:rFonts w:asciiTheme="minorHAnsi" w:hAnsiTheme="minorHAnsi" w:cstheme="minorHAnsi"/>
          <w:szCs w:val="22"/>
        </w:rPr>
      </w:pPr>
      <w:r w:rsidRPr="00C64AA4">
        <w:rPr>
          <w:rFonts w:asciiTheme="minorHAnsi" w:hAnsiTheme="minorHAnsi" w:cstheme="minorHAnsi"/>
          <w:szCs w:val="22"/>
        </w:rPr>
        <w:t>Effective governance of Youth Justice from the national</w:t>
      </w:r>
      <w:r w:rsidR="00AD6774">
        <w:rPr>
          <w:rFonts w:asciiTheme="minorHAnsi" w:hAnsiTheme="minorHAnsi" w:cstheme="minorHAnsi"/>
          <w:szCs w:val="22"/>
        </w:rPr>
        <w:t xml:space="preserve"> level</w:t>
      </w:r>
      <w:r w:rsidRPr="00C64AA4">
        <w:rPr>
          <w:rFonts w:asciiTheme="minorHAnsi" w:hAnsiTheme="minorHAnsi" w:cstheme="minorHAnsi"/>
          <w:szCs w:val="22"/>
        </w:rPr>
        <w:t xml:space="preserve"> down to local communities </w:t>
      </w:r>
    </w:p>
    <w:p w:rsidR="0071555D" w:rsidRPr="00C64AA4" w:rsidRDefault="0071555D" w:rsidP="0071555D">
      <w:pPr>
        <w:pStyle w:val="PlainText"/>
        <w:numPr>
          <w:ilvl w:val="0"/>
          <w:numId w:val="23"/>
        </w:numPr>
        <w:spacing w:line="276" w:lineRule="auto"/>
        <w:jc w:val="both"/>
        <w:rPr>
          <w:rFonts w:asciiTheme="minorHAnsi" w:hAnsiTheme="minorHAnsi" w:cstheme="minorHAnsi"/>
          <w:szCs w:val="22"/>
        </w:rPr>
      </w:pPr>
      <w:r w:rsidRPr="00C64AA4">
        <w:rPr>
          <w:rFonts w:asciiTheme="minorHAnsi" w:hAnsiTheme="minorHAnsi" w:cstheme="minorHAnsi"/>
          <w:szCs w:val="22"/>
        </w:rPr>
        <w:t>Wo</w:t>
      </w:r>
      <w:r w:rsidR="00AD6774">
        <w:rPr>
          <w:rFonts w:asciiTheme="minorHAnsi" w:hAnsiTheme="minorHAnsi" w:cstheme="minorHAnsi"/>
          <w:szCs w:val="22"/>
        </w:rPr>
        <w:t>rkforce development for both</w:t>
      </w:r>
      <w:r w:rsidRPr="00C64AA4">
        <w:rPr>
          <w:rFonts w:asciiTheme="minorHAnsi" w:hAnsiTheme="minorHAnsi" w:cstheme="minorHAnsi"/>
          <w:szCs w:val="22"/>
        </w:rPr>
        <w:t xml:space="preserve"> state agencies and the non-government sector </w:t>
      </w:r>
    </w:p>
    <w:p w:rsidR="0071555D" w:rsidRPr="00C64AA4" w:rsidRDefault="0071555D" w:rsidP="0071555D">
      <w:pPr>
        <w:pStyle w:val="PlainText"/>
        <w:numPr>
          <w:ilvl w:val="0"/>
          <w:numId w:val="23"/>
        </w:numPr>
        <w:spacing w:line="276" w:lineRule="auto"/>
        <w:jc w:val="both"/>
        <w:rPr>
          <w:rFonts w:asciiTheme="minorHAnsi" w:hAnsiTheme="minorHAnsi" w:cstheme="minorHAnsi"/>
          <w:szCs w:val="22"/>
        </w:rPr>
      </w:pPr>
      <w:r w:rsidRPr="00C64AA4">
        <w:rPr>
          <w:rFonts w:asciiTheme="minorHAnsi" w:hAnsiTheme="minorHAnsi" w:cstheme="minorHAnsi"/>
          <w:szCs w:val="22"/>
        </w:rPr>
        <w:t>Quality information, this includes a minimum youth justice data set to help communities and agencies understand their environment better, the effectiveness of what they are doing, and for planning purposes.</w:t>
      </w:r>
    </w:p>
    <w:p w:rsidR="0071555D" w:rsidRPr="00C64AA4" w:rsidRDefault="0071555D" w:rsidP="0071555D">
      <w:pPr>
        <w:pStyle w:val="PlainText"/>
        <w:spacing w:line="276" w:lineRule="auto"/>
        <w:jc w:val="both"/>
        <w:rPr>
          <w:rFonts w:asciiTheme="minorHAnsi" w:hAnsiTheme="minorHAnsi" w:cstheme="minorHAnsi"/>
          <w:szCs w:val="22"/>
        </w:rPr>
      </w:pPr>
    </w:p>
    <w:p w:rsidR="0071555D" w:rsidRPr="00C64AA4" w:rsidRDefault="0071555D" w:rsidP="0071555D">
      <w:pPr>
        <w:pStyle w:val="PlainText"/>
        <w:spacing w:line="276" w:lineRule="auto"/>
        <w:jc w:val="both"/>
        <w:rPr>
          <w:rFonts w:asciiTheme="minorHAnsi" w:hAnsiTheme="minorHAnsi" w:cstheme="minorHAnsi"/>
          <w:szCs w:val="22"/>
        </w:rPr>
      </w:pPr>
      <w:r w:rsidRPr="00C64AA4">
        <w:rPr>
          <w:rFonts w:asciiTheme="minorHAnsi" w:hAnsiTheme="minorHAnsi" w:cstheme="minorHAnsi"/>
          <w:szCs w:val="22"/>
        </w:rPr>
        <w:t>The YCAP has 30 identified actions to be undertaken in the first two years of its existence.  These are a mixture of actions which can be completed within the timeframe and others which are first steps and will need additional work into the future.</w:t>
      </w:r>
    </w:p>
    <w:p w:rsidR="0071555D" w:rsidRPr="00C64AA4" w:rsidRDefault="0071555D" w:rsidP="0071555D">
      <w:pPr>
        <w:pStyle w:val="PlainText"/>
        <w:spacing w:line="276" w:lineRule="auto"/>
        <w:jc w:val="both"/>
        <w:rPr>
          <w:rFonts w:asciiTheme="minorHAnsi" w:hAnsiTheme="minorHAnsi" w:cstheme="minorHAnsi"/>
          <w:szCs w:val="22"/>
        </w:rPr>
      </w:pPr>
    </w:p>
    <w:p w:rsidR="0071555D" w:rsidRPr="00C64AA4" w:rsidRDefault="0071555D" w:rsidP="0071555D">
      <w:pPr>
        <w:pStyle w:val="PlainText"/>
        <w:spacing w:line="276" w:lineRule="auto"/>
        <w:jc w:val="both"/>
        <w:rPr>
          <w:rFonts w:asciiTheme="minorHAnsi" w:hAnsiTheme="minorHAnsi" w:cstheme="minorHAnsi"/>
          <w:szCs w:val="22"/>
        </w:rPr>
      </w:pPr>
      <w:r w:rsidRPr="00C64AA4">
        <w:rPr>
          <w:rFonts w:asciiTheme="minorHAnsi" w:hAnsiTheme="minorHAnsi" w:cstheme="minorHAnsi"/>
          <w:szCs w:val="22"/>
        </w:rPr>
        <w:t>The YCAP was launched in October 2013 so there has not been a great deal of time to see progress however there are actions in progress including:</w:t>
      </w:r>
    </w:p>
    <w:p w:rsidR="0071555D" w:rsidRPr="00C64AA4" w:rsidRDefault="0071555D" w:rsidP="0071555D">
      <w:pPr>
        <w:pStyle w:val="PlainText"/>
        <w:spacing w:line="276" w:lineRule="auto"/>
        <w:jc w:val="both"/>
        <w:rPr>
          <w:rFonts w:asciiTheme="minorHAnsi" w:hAnsiTheme="minorHAnsi" w:cstheme="minorHAnsi"/>
          <w:szCs w:val="22"/>
        </w:rPr>
      </w:pPr>
    </w:p>
    <w:p w:rsidR="0071555D" w:rsidRPr="00C64AA4" w:rsidRDefault="0071555D" w:rsidP="0071555D">
      <w:pPr>
        <w:pStyle w:val="PlainText"/>
        <w:numPr>
          <w:ilvl w:val="0"/>
          <w:numId w:val="24"/>
        </w:numPr>
        <w:spacing w:line="276" w:lineRule="auto"/>
        <w:jc w:val="both"/>
        <w:rPr>
          <w:rFonts w:asciiTheme="minorHAnsi" w:hAnsiTheme="minorHAnsi" w:cstheme="minorHAnsi"/>
          <w:szCs w:val="22"/>
        </w:rPr>
      </w:pPr>
      <w:r w:rsidRPr="00C64AA4">
        <w:rPr>
          <w:rFonts w:asciiTheme="minorHAnsi" w:hAnsiTheme="minorHAnsi" w:cstheme="minorHAnsi"/>
          <w:szCs w:val="22"/>
        </w:rPr>
        <w:t xml:space="preserve">Police and CYF have piloted an early decision making model which effectively means making considered decisions about who will be prosecuted and, where there is to be an alternative action, whether it should be Police led or CYF led.  </w:t>
      </w:r>
    </w:p>
    <w:p w:rsidR="0071555D" w:rsidRPr="00C64AA4" w:rsidRDefault="0071555D" w:rsidP="0071555D">
      <w:pPr>
        <w:pStyle w:val="PlainText"/>
        <w:numPr>
          <w:ilvl w:val="0"/>
          <w:numId w:val="24"/>
        </w:numPr>
        <w:spacing w:line="276" w:lineRule="auto"/>
        <w:jc w:val="both"/>
        <w:rPr>
          <w:rFonts w:asciiTheme="minorHAnsi" w:hAnsiTheme="minorHAnsi" w:cstheme="minorHAnsi"/>
          <w:szCs w:val="22"/>
        </w:rPr>
      </w:pPr>
      <w:r w:rsidRPr="00C64AA4">
        <w:rPr>
          <w:rFonts w:asciiTheme="minorHAnsi" w:hAnsiTheme="minorHAnsi" w:cstheme="minorHAnsi"/>
          <w:szCs w:val="22"/>
        </w:rPr>
        <w:t>Linked to this are other process improvements by Police including the referral of all cases to Youth Aid (Police Youth Services) where there is to be a prosecution before the prosecution proceeds, and close tracking of Police decisions to prosecute to improve consistency of decision making nationally.</w:t>
      </w:r>
    </w:p>
    <w:p w:rsidR="0071555D" w:rsidRPr="00C64AA4" w:rsidRDefault="0071555D" w:rsidP="0071555D">
      <w:pPr>
        <w:pStyle w:val="PlainText"/>
        <w:numPr>
          <w:ilvl w:val="0"/>
          <w:numId w:val="24"/>
        </w:numPr>
        <w:spacing w:line="276" w:lineRule="auto"/>
        <w:jc w:val="both"/>
        <w:rPr>
          <w:rFonts w:asciiTheme="minorHAnsi" w:hAnsiTheme="minorHAnsi" w:cstheme="minorHAnsi"/>
          <w:szCs w:val="22"/>
        </w:rPr>
      </w:pPr>
      <w:r w:rsidRPr="00C64AA4">
        <w:rPr>
          <w:rFonts w:asciiTheme="minorHAnsi" w:hAnsiTheme="minorHAnsi" w:cstheme="minorHAnsi"/>
          <w:szCs w:val="22"/>
        </w:rPr>
        <w:t>In terms of promoting early and sustainable exits a large part of the work is around reinvigorating the family group conference project.  Key actions that have occurred are the development of performance standards, promulgation of information for professionals participating in FGCs, the recruitment of 12 practice experts who will work with coordinators as 'accreditors' and mentors.</w:t>
      </w:r>
    </w:p>
    <w:p w:rsidR="0071555D" w:rsidRPr="0071555D" w:rsidRDefault="0071555D" w:rsidP="0071555D">
      <w:pPr>
        <w:pStyle w:val="PlainText"/>
        <w:numPr>
          <w:ilvl w:val="0"/>
          <w:numId w:val="24"/>
        </w:numPr>
        <w:spacing w:line="276" w:lineRule="auto"/>
        <w:jc w:val="both"/>
        <w:rPr>
          <w:rFonts w:asciiTheme="minorHAnsi" w:hAnsiTheme="minorHAnsi" w:cstheme="minorHAnsi"/>
          <w:szCs w:val="22"/>
        </w:rPr>
      </w:pPr>
      <w:r w:rsidRPr="00C64AA4">
        <w:rPr>
          <w:rFonts w:asciiTheme="minorHAnsi" w:hAnsiTheme="minorHAnsi" w:cstheme="minorHAnsi"/>
          <w:szCs w:val="22"/>
        </w:rPr>
        <w:t>Within the community development space, tools have been developed to help communities establish their own YCAP plans and work has begun with one area (Hamilton) to trial processes.  In terms of a challenge, this is the strategy that will take the most work.  There are a variety of initiatives happening in communities all attempting to do the same things so the challenge is to engage without placing duplicate demands on these communities.  We also want to avoid creating too many bureaucratic hurdles, seeking input without creating unrealistic expectations about resources, identifying and working with diverse communities (both geographical and communities of interest) who may not have established governance arrangements, and getting to those 'hard to reach' communities that may be reluctant participants. Information has been developed to help communities to engage and Youth Justice Managers have been invited to start thinking about how they might develop and include YCAP strategies into their local plans.  The majority of the 32 existing Youth Offending Teams (YOTs) which include members of Health, Education, Police and Child</w:t>
      </w:r>
      <w:r w:rsidR="00DE5C48">
        <w:rPr>
          <w:rFonts w:asciiTheme="minorHAnsi" w:hAnsiTheme="minorHAnsi" w:cstheme="minorHAnsi"/>
          <w:szCs w:val="22"/>
        </w:rPr>
        <w:t>,</w:t>
      </w:r>
      <w:r w:rsidRPr="00C64AA4">
        <w:rPr>
          <w:rFonts w:asciiTheme="minorHAnsi" w:hAnsiTheme="minorHAnsi" w:cstheme="minorHAnsi"/>
          <w:szCs w:val="22"/>
        </w:rPr>
        <w:t xml:space="preserve"> Youth and Family and which provide national </w:t>
      </w:r>
      <w:proofErr w:type="gramStart"/>
      <w:r w:rsidRPr="00C64AA4">
        <w:rPr>
          <w:rFonts w:asciiTheme="minorHAnsi" w:hAnsiTheme="minorHAnsi" w:cstheme="minorHAnsi"/>
          <w:szCs w:val="22"/>
        </w:rPr>
        <w:t>coverage,</w:t>
      </w:r>
      <w:proofErr w:type="gramEnd"/>
      <w:r w:rsidRPr="00C64AA4">
        <w:rPr>
          <w:rFonts w:asciiTheme="minorHAnsi" w:hAnsiTheme="minorHAnsi" w:cstheme="minorHAnsi"/>
          <w:szCs w:val="22"/>
        </w:rPr>
        <w:t xml:space="preserve"> are chaired by either CYF or Police so it is easy to engage with them and promote the purpose of YCAP.  There remains a challenge </w:t>
      </w:r>
      <w:r w:rsidR="00DE5C48">
        <w:rPr>
          <w:rFonts w:asciiTheme="minorHAnsi" w:hAnsiTheme="minorHAnsi" w:cstheme="minorHAnsi"/>
          <w:szCs w:val="22"/>
        </w:rPr>
        <w:t xml:space="preserve">of </w:t>
      </w:r>
      <w:r w:rsidR="00AD6774">
        <w:rPr>
          <w:rFonts w:asciiTheme="minorHAnsi" w:hAnsiTheme="minorHAnsi" w:cstheme="minorHAnsi"/>
          <w:szCs w:val="22"/>
        </w:rPr>
        <w:t>how sub-</w:t>
      </w:r>
      <w:r w:rsidRPr="00C64AA4">
        <w:rPr>
          <w:rFonts w:asciiTheme="minorHAnsi" w:hAnsiTheme="minorHAnsi" w:cstheme="minorHAnsi"/>
          <w:szCs w:val="22"/>
        </w:rPr>
        <w:t>communities within t</w:t>
      </w:r>
      <w:r>
        <w:rPr>
          <w:rFonts w:asciiTheme="minorHAnsi" w:hAnsiTheme="minorHAnsi" w:cstheme="minorHAnsi"/>
          <w:szCs w:val="22"/>
        </w:rPr>
        <w:t>hose YOT catchments are engaged</w:t>
      </w:r>
    </w:p>
    <w:p w:rsidR="0071555D" w:rsidRPr="0071555D" w:rsidRDefault="0071555D" w:rsidP="0071555D"/>
    <w:p w:rsidR="00C64AA4" w:rsidRPr="0071555D" w:rsidRDefault="0071555D" w:rsidP="0071555D">
      <w:pPr>
        <w:pStyle w:val="Heading2"/>
        <w:numPr>
          <w:ilvl w:val="1"/>
          <w:numId w:val="1"/>
        </w:numPr>
      </w:pPr>
      <w:r>
        <w:t xml:space="preserve"> </w:t>
      </w:r>
      <w:bookmarkStart w:id="10" w:name="_Toc400525440"/>
      <w:r>
        <w:t>The Assessment Centre</w:t>
      </w:r>
      <w:bookmarkEnd w:id="10"/>
    </w:p>
    <w:p w:rsidR="00C64AA4" w:rsidRPr="00C64AA4" w:rsidRDefault="00C64AA4" w:rsidP="0071555D">
      <w:pPr>
        <w:pStyle w:val="PlainText"/>
        <w:spacing w:line="276" w:lineRule="auto"/>
        <w:jc w:val="both"/>
        <w:rPr>
          <w:rFonts w:asciiTheme="minorHAnsi" w:hAnsiTheme="minorHAnsi" w:cstheme="minorHAnsi"/>
          <w:szCs w:val="22"/>
        </w:rPr>
      </w:pPr>
      <w:r w:rsidRPr="00C64AA4">
        <w:rPr>
          <w:rFonts w:asciiTheme="minorHAnsi" w:hAnsiTheme="minorHAnsi" w:cstheme="minorHAnsi"/>
          <w:szCs w:val="22"/>
        </w:rPr>
        <w:t xml:space="preserve">Associated with the YCAP strategy of early sustainable exits is the development of an assessment centre in one of the national residences, Korowai </w:t>
      </w:r>
      <w:proofErr w:type="spellStart"/>
      <w:r w:rsidRPr="00C64AA4">
        <w:rPr>
          <w:rFonts w:asciiTheme="minorHAnsi" w:hAnsiTheme="minorHAnsi" w:cstheme="minorHAnsi"/>
          <w:szCs w:val="22"/>
        </w:rPr>
        <w:t>Manaaki</w:t>
      </w:r>
      <w:proofErr w:type="spellEnd"/>
      <w:r w:rsidR="00C45085">
        <w:rPr>
          <w:rFonts w:asciiTheme="minorHAnsi" w:hAnsiTheme="minorHAnsi" w:cstheme="minorHAnsi"/>
          <w:szCs w:val="22"/>
        </w:rPr>
        <w:t xml:space="preserve"> </w:t>
      </w:r>
      <w:r w:rsidR="00C45085" w:rsidRPr="00F83E68">
        <w:rPr>
          <w:rFonts w:asciiTheme="minorHAnsi" w:hAnsiTheme="minorHAnsi" w:cstheme="minorHAnsi"/>
          <w:szCs w:val="22"/>
        </w:rPr>
        <w:t>at Auckland</w:t>
      </w:r>
      <w:r w:rsidRPr="00F83E68">
        <w:rPr>
          <w:rFonts w:asciiTheme="minorHAnsi" w:hAnsiTheme="minorHAnsi" w:cstheme="minorHAnsi"/>
          <w:szCs w:val="22"/>
        </w:rPr>
        <w:t>,</w:t>
      </w:r>
      <w:r w:rsidRPr="00C64AA4">
        <w:rPr>
          <w:rFonts w:asciiTheme="minorHAnsi" w:hAnsiTheme="minorHAnsi" w:cstheme="minorHAnsi"/>
          <w:szCs w:val="22"/>
        </w:rPr>
        <w:t xml:space="preserve"> with a view to creating a centre in each of the four residences.  The purpose of the centres is to reduce the length of time young people spend in residences on remand.  In addition the centres will intensively assess young people for their FGCs and seek to risk plan for their safe return to the community at the earliest possible time.</w:t>
      </w:r>
    </w:p>
    <w:p w:rsidR="00C64AA4" w:rsidRPr="00C64AA4" w:rsidRDefault="00C64AA4" w:rsidP="0071555D">
      <w:pPr>
        <w:pStyle w:val="PlainText"/>
        <w:spacing w:line="276" w:lineRule="auto"/>
        <w:jc w:val="both"/>
        <w:rPr>
          <w:rFonts w:asciiTheme="minorHAnsi" w:hAnsiTheme="minorHAnsi" w:cstheme="minorHAnsi"/>
          <w:szCs w:val="22"/>
        </w:rPr>
      </w:pPr>
    </w:p>
    <w:p w:rsidR="00C64AA4" w:rsidRPr="00C64AA4" w:rsidRDefault="00C64AA4" w:rsidP="0071555D">
      <w:pPr>
        <w:pStyle w:val="PlainText"/>
        <w:spacing w:line="276" w:lineRule="auto"/>
        <w:jc w:val="both"/>
        <w:rPr>
          <w:rFonts w:asciiTheme="minorHAnsi" w:hAnsiTheme="minorHAnsi" w:cstheme="minorHAnsi"/>
          <w:szCs w:val="22"/>
        </w:rPr>
      </w:pPr>
      <w:r w:rsidRPr="00C64AA4">
        <w:rPr>
          <w:rFonts w:asciiTheme="minorHAnsi" w:hAnsiTheme="minorHAnsi" w:cstheme="minorHAnsi"/>
          <w:szCs w:val="22"/>
        </w:rPr>
        <w:t>The centre uses health, education and work placement staff, along with field and residential social workers to fully assess the young person within the first 10 days that they are in residence.  Supported bail or electronic monitoring will be used at the earliest possible time to safely return young people to the community.  Where custody is the best decision, this will have been fully tested.</w:t>
      </w:r>
    </w:p>
    <w:p w:rsidR="00C64AA4" w:rsidRPr="00C64AA4" w:rsidRDefault="00C64AA4" w:rsidP="0071555D">
      <w:pPr>
        <w:pStyle w:val="PlainText"/>
        <w:spacing w:line="276" w:lineRule="auto"/>
        <w:jc w:val="both"/>
        <w:rPr>
          <w:rFonts w:asciiTheme="minorHAnsi" w:hAnsiTheme="minorHAnsi" w:cstheme="minorHAnsi"/>
          <w:szCs w:val="22"/>
        </w:rPr>
      </w:pPr>
    </w:p>
    <w:p w:rsidR="009112C1" w:rsidRDefault="00C64AA4" w:rsidP="0071555D">
      <w:pPr>
        <w:pStyle w:val="PlainText"/>
        <w:spacing w:line="276" w:lineRule="auto"/>
        <w:jc w:val="both"/>
        <w:rPr>
          <w:rFonts w:asciiTheme="minorHAnsi" w:hAnsiTheme="minorHAnsi" w:cstheme="minorHAnsi"/>
          <w:szCs w:val="22"/>
        </w:rPr>
      </w:pPr>
      <w:r w:rsidRPr="00C64AA4">
        <w:rPr>
          <w:rFonts w:asciiTheme="minorHAnsi" w:hAnsiTheme="minorHAnsi" w:cstheme="minorHAnsi"/>
          <w:szCs w:val="22"/>
        </w:rPr>
        <w:t xml:space="preserve">Progress to date is that two of the seven Auckland youth justice sites have worked with the residence to establish the processes necessary and from 1 April </w:t>
      </w:r>
      <w:r w:rsidR="00C45085">
        <w:rPr>
          <w:rFonts w:asciiTheme="minorHAnsi" w:hAnsiTheme="minorHAnsi" w:cstheme="minorHAnsi"/>
          <w:szCs w:val="22"/>
        </w:rPr>
        <w:t>2014 all the Auckland sites</w:t>
      </w:r>
      <w:r w:rsidRPr="00C64AA4">
        <w:rPr>
          <w:rFonts w:asciiTheme="minorHAnsi" w:hAnsiTheme="minorHAnsi" w:cstheme="minorHAnsi"/>
          <w:szCs w:val="22"/>
        </w:rPr>
        <w:t xml:space="preserve"> start</w:t>
      </w:r>
      <w:r w:rsidR="00C45085">
        <w:rPr>
          <w:rFonts w:asciiTheme="minorHAnsi" w:hAnsiTheme="minorHAnsi" w:cstheme="minorHAnsi"/>
          <w:szCs w:val="22"/>
        </w:rPr>
        <w:t>ed</w:t>
      </w:r>
      <w:r w:rsidRPr="00C64AA4">
        <w:rPr>
          <w:rFonts w:asciiTheme="minorHAnsi" w:hAnsiTheme="minorHAnsi" w:cstheme="minorHAnsi"/>
          <w:szCs w:val="22"/>
        </w:rPr>
        <w:t xml:space="preserve"> using the established processes.  A governance structure has been put in place and it is expected that there will be a roll out to all residences over the next four to five months.</w:t>
      </w:r>
    </w:p>
    <w:p w:rsidR="002A516E" w:rsidRDefault="002A516E" w:rsidP="0071555D">
      <w:pPr>
        <w:pStyle w:val="PlainText"/>
        <w:spacing w:line="276" w:lineRule="auto"/>
        <w:jc w:val="both"/>
        <w:rPr>
          <w:rFonts w:asciiTheme="minorHAnsi" w:hAnsiTheme="minorHAnsi" w:cstheme="minorHAnsi"/>
          <w:szCs w:val="22"/>
        </w:rPr>
      </w:pPr>
    </w:p>
    <w:p w:rsidR="002A516E" w:rsidRPr="0071555D" w:rsidRDefault="002A516E" w:rsidP="0071555D">
      <w:pPr>
        <w:pStyle w:val="PlainText"/>
        <w:spacing w:line="276" w:lineRule="auto"/>
        <w:jc w:val="both"/>
        <w:rPr>
          <w:rFonts w:asciiTheme="minorHAnsi" w:hAnsiTheme="minorHAnsi" w:cstheme="minorHAnsi"/>
          <w:szCs w:val="22"/>
        </w:rPr>
      </w:pPr>
    </w:p>
    <w:p w:rsidR="00C64AA4" w:rsidRPr="002A516E" w:rsidRDefault="006C41E5" w:rsidP="002A516E">
      <w:pPr>
        <w:pStyle w:val="Heading1"/>
        <w:numPr>
          <w:ilvl w:val="0"/>
          <w:numId w:val="1"/>
        </w:numPr>
      </w:pPr>
      <w:bookmarkStart w:id="11" w:name="_Toc400525441"/>
      <w:r>
        <w:t>Research, Reviews and Publications</w:t>
      </w:r>
      <w:bookmarkEnd w:id="11"/>
    </w:p>
    <w:p w:rsidR="006C41E5" w:rsidRDefault="00C64AA4" w:rsidP="002910D0">
      <w:pPr>
        <w:pStyle w:val="Heading2"/>
        <w:numPr>
          <w:ilvl w:val="1"/>
          <w:numId w:val="1"/>
        </w:numPr>
      </w:pPr>
      <w:r>
        <w:t xml:space="preserve">  </w:t>
      </w:r>
      <w:bookmarkStart w:id="12" w:name="_Toc400525442"/>
      <w:r>
        <w:t xml:space="preserve">Latest results from the Military Activity </w:t>
      </w:r>
      <w:r w:rsidR="00FB4EE7">
        <w:t>Centre (</w:t>
      </w:r>
      <w:r w:rsidR="0071555D">
        <w:t>MAC)</w:t>
      </w:r>
      <w:bookmarkEnd w:id="12"/>
    </w:p>
    <w:p w:rsidR="0071555D" w:rsidRPr="00C64AA4" w:rsidRDefault="0071555D" w:rsidP="0071555D">
      <w:pPr>
        <w:autoSpaceDE w:val="0"/>
        <w:autoSpaceDN w:val="0"/>
        <w:adjustRightInd w:val="0"/>
        <w:jc w:val="both"/>
        <w:rPr>
          <w:rFonts w:cs="AvenirMaori-Medium"/>
        </w:rPr>
      </w:pPr>
      <w:r>
        <w:rPr>
          <w:rFonts w:cs="AvenirMaori-Medium"/>
        </w:rPr>
        <w:t xml:space="preserve">MACs were introduced in 2010 to provide the Youth Court with an </w:t>
      </w:r>
      <w:r w:rsidRPr="00C127EA">
        <w:rPr>
          <w:rFonts w:cs="AvenirMaori-Medium"/>
        </w:rPr>
        <w:t>option for dealing with the most</w:t>
      </w:r>
      <w:r>
        <w:rPr>
          <w:rFonts w:cs="AvenirMaori-Medium"/>
        </w:rPr>
        <w:t xml:space="preserve"> </w:t>
      </w:r>
      <w:r w:rsidRPr="00C127EA">
        <w:rPr>
          <w:rFonts w:cs="AvenirMaori-Medium"/>
        </w:rPr>
        <w:t>serious young offenders, who</w:t>
      </w:r>
      <w:r>
        <w:rPr>
          <w:rFonts w:cs="AvenirMaori-Medium"/>
        </w:rPr>
        <w:t xml:space="preserve"> </w:t>
      </w:r>
      <w:r w:rsidRPr="00C127EA">
        <w:rPr>
          <w:rFonts w:cs="AvenirMaori-Medium"/>
        </w:rPr>
        <w:t>would otherwise be sent on to</w:t>
      </w:r>
      <w:r>
        <w:rPr>
          <w:rFonts w:cs="AvenirMaori-Medium"/>
        </w:rPr>
        <w:t xml:space="preserve"> </w:t>
      </w:r>
      <w:r w:rsidRPr="00C127EA">
        <w:rPr>
          <w:rFonts w:cs="AvenirMaori-Medium"/>
        </w:rPr>
        <w:t>the adult justice system.</w:t>
      </w:r>
    </w:p>
    <w:p w:rsidR="0071555D" w:rsidRDefault="0071555D" w:rsidP="0071555D">
      <w:pPr>
        <w:autoSpaceDE w:val="0"/>
        <w:autoSpaceDN w:val="0"/>
        <w:adjustRightInd w:val="0"/>
        <w:jc w:val="both"/>
        <w:rPr>
          <w:rFonts w:cs="AvenirMaori-Light"/>
        </w:rPr>
      </w:pPr>
      <w:r w:rsidRPr="00E07A35">
        <w:rPr>
          <w:rFonts w:cs="AvenirMaori-Light"/>
        </w:rPr>
        <w:t>The MAC programme involves:</w:t>
      </w:r>
    </w:p>
    <w:p w:rsidR="0071555D" w:rsidRDefault="0071555D" w:rsidP="0071555D">
      <w:pPr>
        <w:pStyle w:val="ListParagraph"/>
        <w:numPr>
          <w:ilvl w:val="0"/>
          <w:numId w:val="18"/>
        </w:numPr>
        <w:autoSpaceDE w:val="0"/>
        <w:autoSpaceDN w:val="0"/>
        <w:adjustRightInd w:val="0"/>
        <w:jc w:val="both"/>
        <w:rPr>
          <w:rFonts w:cs="AvenirMaori-Light"/>
        </w:rPr>
      </w:pPr>
      <w:r w:rsidRPr="002910D0">
        <w:rPr>
          <w:rFonts w:cs="AvenirMaori-Light"/>
        </w:rPr>
        <w:t>a residential phase, including a wilderness camp and interventions to address the young person’s individual needs</w:t>
      </w:r>
    </w:p>
    <w:p w:rsidR="0071555D" w:rsidRPr="002910D0" w:rsidRDefault="0071555D" w:rsidP="0071555D">
      <w:pPr>
        <w:pStyle w:val="ListParagraph"/>
        <w:numPr>
          <w:ilvl w:val="0"/>
          <w:numId w:val="18"/>
        </w:numPr>
        <w:autoSpaceDE w:val="0"/>
        <w:autoSpaceDN w:val="0"/>
        <w:adjustRightInd w:val="0"/>
        <w:jc w:val="both"/>
        <w:rPr>
          <w:rFonts w:cs="AvenirMaori-Light"/>
        </w:rPr>
      </w:pPr>
      <w:proofErr w:type="gramStart"/>
      <w:r w:rsidRPr="002910D0">
        <w:rPr>
          <w:rFonts w:cs="AvenirMaori-Light"/>
        </w:rPr>
        <w:t>a</w:t>
      </w:r>
      <w:proofErr w:type="gramEnd"/>
      <w:r w:rsidRPr="002910D0">
        <w:rPr>
          <w:rFonts w:cs="AvenirMaori-Light"/>
        </w:rPr>
        <w:t xml:space="preserve"> community phase, with on-going support for the young person and their family.</w:t>
      </w:r>
    </w:p>
    <w:p w:rsidR="0071555D" w:rsidRDefault="0071555D" w:rsidP="0071555D">
      <w:pPr>
        <w:autoSpaceDE w:val="0"/>
        <w:autoSpaceDN w:val="0"/>
        <w:adjustRightInd w:val="0"/>
        <w:jc w:val="both"/>
        <w:rPr>
          <w:rFonts w:cs="AvenirMaori-Light"/>
        </w:rPr>
      </w:pPr>
      <w:r>
        <w:rPr>
          <w:rFonts w:cs="AvenirMaori-Light"/>
        </w:rPr>
        <w:t>Enhancements were made to the</w:t>
      </w:r>
      <w:r w:rsidRPr="00E07A35">
        <w:rPr>
          <w:rFonts w:cs="AvenirMaori-Light"/>
        </w:rPr>
        <w:t xml:space="preserve"> MAC programme by:</w:t>
      </w:r>
    </w:p>
    <w:p w:rsidR="0071555D" w:rsidRDefault="0071555D" w:rsidP="0071555D">
      <w:pPr>
        <w:pStyle w:val="ListParagraph"/>
        <w:numPr>
          <w:ilvl w:val="0"/>
          <w:numId w:val="19"/>
        </w:numPr>
        <w:autoSpaceDE w:val="0"/>
        <w:autoSpaceDN w:val="0"/>
        <w:adjustRightInd w:val="0"/>
        <w:jc w:val="both"/>
        <w:rPr>
          <w:rFonts w:cs="AvenirMaori-Light"/>
        </w:rPr>
      </w:pPr>
      <w:r w:rsidRPr="002910D0">
        <w:rPr>
          <w:rFonts w:cs="AvenirMaori-Light"/>
        </w:rPr>
        <w:t>adding a post-release development programme to support the young person’s transition back into their home community</w:t>
      </w:r>
    </w:p>
    <w:p w:rsidR="0071555D" w:rsidRDefault="0071555D" w:rsidP="0071555D">
      <w:pPr>
        <w:pStyle w:val="ListParagraph"/>
        <w:numPr>
          <w:ilvl w:val="0"/>
          <w:numId w:val="19"/>
        </w:numPr>
        <w:autoSpaceDE w:val="0"/>
        <w:autoSpaceDN w:val="0"/>
        <w:adjustRightInd w:val="0"/>
        <w:jc w:val="both"/>
        <w:rPr>
          <w:rFonts w:cs="AvenirMaori-Light"/>
        </w:rPr>
      </w:pPr>
      <w:r w:rsidRPr="002910D0">
        <w:rPr>
          <w:rFonts w:cs="AvenirMaori-Light"/>
        </w:rPr>
        <w:t>ensuring all young people are offered mentoring support and are linked with a youth employment service on release</w:t>
      </w:r>
    </w:p>
    <w:p w:rsidR="0071555D" w:rsidRDefault="0071555D" w:rsidP="0071555D">
      <w:pPr>
        <w:pStyle w:val="ListParagraph"/>
        <w:numPr>
          <w:ilvl w:val="0"/>
          <w:numId w:val="19"/>
        </w:numPr>
        <w:autoSpaceDE w:val="0"/>
        <w:autoSpaceDN w:val="0"/>
        <w:adjustRightInd w:val="0"/>
        <w:jc w:val="both"/>
        <w:rPr>
          <w:rFonts w:cs="AvenirMaori-Light"/>
        </w:rPr>
      </w:pPr>
      <w:r w:rsidRPr="002910D0">
        <w:rPr>
          <w:rFonts w:cs="AvenirMaori-Light"/>
        </w:rPr>
        <w:t>tailoring the length of the Supervision with Residence period so MAC graduates can be released promptly when they complete the MAC phase of their Order</w:t>
      </w:r>
    </w:p>
    <w:p w:rsidR="0071555D" w:rsidRPr="002910D0" w:rsidRDefault="0071555D" w:rsidP="0071555D">
      <w:pPr>
        <w:pStyle w:val="ListParagraph"/>
        <w:numPr>
          <w:ilvl w:val="0"/>
          <w:numId w:val="19"/>
        </w:numPr>
        <w:autoSpaceDE w:val="0"/>
        <w:autoSpaceDN w:val="0"/>
        <w:adjustRightInd w:val="0"/>
        <w:jc w:val="both"/>
        <w:rPr>
          <w:rFonts w:cs="AvenirMaori-Light"/>
        </w:rPr>
      </w:pPr>
      <w:proofErr w:type="gramStart"/>
      <w:r w:rsidRPr="002910D0">
        <w:rPr>
          <w:rFonts w:cs="AvenirMaori-Light"/>
        </w:rPr>
        <w:t>introducing</w:t>
      </w:r>
      <w:proofErr w:type="gramEnd"/>
      <w:r w:rsidRPr="002910D0">
        <w:rPr>
          <w:rFonts w:cs="AvenirMaori-Light"/>
        </w:rPr>
        <w:t xml:space="preserve"> training in motivational interview techniques for MAC social workers. The process requires accreditation and we are working with the University of Canterbury to complete this.</w:t>
      </w:r>
    </w:p>
    <w:p w:rsidR="00336B1A" w:rsidRPr="002663E2" w:rsidRDefault="00336B1A" w:rsidP="00336B1A">
      <w:pPr>
        <w:autoSpaceDE w:val="0"/>
        <w:autoSpaceDN w:val="0"/>
        <w:adjustRightInd w:val="0"/>
        <w:spacing w:before="240" w:after="120"/>
      </w:pPr>
      <w:r w:rsidRPr="002663E2">
        <w:t>The outcomes with a 12-month follow-up period for the 47 young people who successfully completed a MAC between July 2011 and December 2012 (MAC Three to MAC Eight) show:</w:t>
      </w:r>
    </w:p>
    <w:p w:rsidR="00336B1A" w:rsidRPr="002663E2" w:rsidRDefault="00336B1A" w:rsidP="00336B1A">
      <w:pPr>
        <w:pStyle w:val="ListParagraph"/>
        <w:numPr>
          <w:ilvl w:val="0"/>
          <w:numId w:val="26"/>
        </w:numPr>
        <w:autoSpaceDE w:val="0"/>
        <w:autoSpaceDN w:val="0"/>
        <w:adjustRightInd w:val="0"/>
        <w:spacing w:before="240" w:after="120" w:line="240" w:lineRule="auto"/>
      </w:pPr>
      <w:r w:rsidRPr="002663E2">
        <w:t>Nineteen per cent did not offend (</w:t>
      </w:r>
      <w:r w:rsidR="002663E2" w:rsidRPr="002663E2">
        <w:t>i.e.</w:t>
      </w:r>
      <w:r w:rsidRPr="002663E2">
        <w:t xml:space="preserve"> come to the attention of police with a new offence) in the 12 months after exiting the residence.</w:t>
      </w:r>
    </w:p>
    <w:p w:rsidR="00336B1A" w:rsidRPr="002663E2" w:rsidRDefault="002663E2" w:rsidP="00336B1A">
      <w:pPr>
        <w:pStyle w:val="ListParagraph"/>
        <w:numPr>
          <w:ilvl w:val="0"/>
          <w:numId w:val="26"/>
        </w:numPr>
        <w:autoSpaceDE w:val="0"/>
        <w:autoSpaceDN w:val="0"/>
        <w:adjustRightInd w:val="0"/>
        <w:spacing w:before="240" w:after="120" w:line="240" w:lineRule="auto"/>
      </w:pPr>
      <w:r w:rsidRPr="002663E2">
        <w:t>Eighty-one per cent</w:t>
      </w:r>
      <w:r w:rsidR="00336B1A" w:rsidRPr="002663E2">
        <w:t xml:space="preserve"> reduced frequency of offending.</w:t>
      </w:r>
    </w:p>
    <w:p w:rsidR="00336B1A" w:rsidRPr="002663E2" w:rsidRDefault="002663E2" w:rsidP="00336B1A">
      <w:pPr>
        <w:pStyle w:val="ListParagraph"/>
        <w:numPr>
          <w:ilvl w:val="0"/>
          <w:numId w:val="26"/>
        </w:numPr>
        <w:autoSpaceDE w:val="0"/>
        <w:autoSpaceDN w:val="0"/>
        <w:adjustRightInd w:val="0"/>
        <w:spacing w:before="240" w:after="120" w:line="240" w:lineRule="auto"/>
      </w:pPr>
      <w:r w:rsidRPr="002663E2">
        <w:t xml:space="preserve">Eighty-nine per cent </w:t>
      </w:r>
      <w:r w:rsidR="00336B1A" w:rsidRPr="002663E2">
        <w:t>reduced total seriousness of offending.</w:t>
      </w:r>
    </w:p>
    <w:p w:rsidR="00336B1A" w:rsidRPr="002663E2" w:rsidRDefault="002663E2" w:rsidP="00336B1A">
      <w:pPr>
        <w:pStyle w:val="ListParagraph"/>
        <w:numPr>
          <w:ilvl w:val="0"/>
          <w:numId w:val="26"/>
        </w:numPr>
        <w:autoSpaceDE w:val="0"/>
        <w:autoSpaceDN w:val="0"/>
        <w:adjustRightInd w:val="0"/>
        <w:spacing w:before="240" w:after="120" w:line="240" w:lineRule="auto"/>
      </w:pPr>
      <w:r w:rsidRPr="002663E2">
        <w:t xml:space="preserve">Seventy-seven per cent </w:t>
      </w:r>
      <w:r w:rsidR="00336B1A" w:rsidRPr="002663E2">
        <w:t>reduced seriousness of most serious offence.</w:t>
      </w:r>
    </w:p>
    <w:p w:rsidR="00336B1A" w:rsidRPr="002663E2" w:rsidRDefault="002663E2" w:rsidP="00336B1A">
      <w:pPr>
        <w:pStyle w:val="ListParagraph"/>
        <w:numPr>
          <w:ilvl w:val="0"/>
          <w:numId w:val="26"/>
        </w:numPr>
        <w:autoSpaceDE w:val="0"/>
        <w:autoSpaceDN w:val="0"/>
        <w:adjustRightInd w:val="0"/>
        <w:spacing w:before="240" w:after="120" w:line="240" w:lineRule="auto"/>
      </w:pPr>
      <w:r w:rsidRPr="002663E2">
        <w:t xml:space="preserve">Seventeen per cent </w:t>
      </w:r>
      <w:r w:rsidR="00336B1A" w:rsidRPr="002663E2">
        <w:t xml:space="preserve">received a custodial sentence (Supervision with Residence order or imprisonment) in the 12 months after completing a MAC. </w:t>
      </w:r>
    </w:p>
    <w:p w:rsidR="00336B1A" w:rsidRPr="002663E2" w:rsidRDefault="00336B1A" w:rsidP="00336B1A">
      <w:pPr>
        <w:suppressAutoHyphens/>
        <w:autoSpaceDE w:val="0"/>
        <w:autoSpaceDN w:val="0"/>
        <w:adjustRightInd w:val="0"/>
        <w:spacing w:after="120"/>
        <w:textAlignment w:val="center"/>
      </w:pPr>
      <w:r w:rsidRPr="002663E2">
        <w:lastRenderedPageBreak/>
        <w:t>Between July 2013 and July 2014 (MAC 11 to MAC 14) a further 25 young people successfully completed a MAC programme as part of a Supervision with Residence Order</w:t>
      </w:r>
      <w:r w:rsidR="002663E2">
        <w:rPr>
          <w:rStyle w:val="FootnoteReference"/>
        </w:rPr>
        <w:footnoteReference w:id="5"/>
      </w:r>
      <w:r w:rsidR="002663E2">
        <w:t>.</w:t>
      </w:r>
    </w:p>
    <w:p w:rsidR="00C64AA4" w:rsidRPr="00521BE0" w:rsidRDefault="00C64AA4" w:rsidP="002663E2">
      <w:pPr>
        <w:suppressAutoHyphens/>
        <w:autoSpaceDE w:val="0"/>
        <w:autoSpaceDN w:val="0"/>
        <w:adjustRightInd w:val="0"/>
        <w:spacing w:after="120"/>
        <w:textAlignment w:val="center"/>
        <w:rPr>
          <w:rFonts w:asciiTheme="minorHAnsi" w:eastAsia="Times New Roman" w:hAnsiTheme="minorHAnsi" w:cstheme="minorHAnsi"/>
          <w:highlight w:val="yellow"/>
          <w:lang w:eastAsia="en-NZ"/>
        </w:rPr>
      </w:pPr>
    </w:p>
    <w:p w:rsidR="006C41E5" w:rsidRDefault="006C41E5" w:rsidP="006C41E5">
      <w:pPr>
        <w:pStyle w:val="Heading1"/>
        <w:numPr>
          <w:ilvl w:val="0"/>
          <w:numId w:val="1"/>
        </w:numPr>
      </w:pPr>
      <w:bookmarkStart w:id="13" w:name="_Toc400525443"/>
      <w:r>
        <w:t>Key Positions and Contact Numbers</w:t>
      </w:r>
      <w:bookmarkEnd w:id="1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681"/>
        <w:gridCol w:w="1605"/>
        <w:gridCol w:w="3298"/>
      </w:tblGrid>
      <w:tr w:rsidR="00416B50" w:rsidRPr="00A946C9" w:rsidTr="006B3D3A">
        <w:tc>
          <w:tcPr>
            <w:tcW w:w="1688" w:type="dxa"/>
            <w:shd w:val="clear" w:color="auto" w:fill="E6E6E6"/>
          </w:tcPr>
          <w:p w:rsidR="00416B50" w:rsidRPr="00A946C9" w:rsidRDefault="00416B50" w:rsidP="006B3D3A">
            <w:pPr>
              <w:spacing w:before="20" w:after="20"/>
              <w:rPr>
                <w:rFonts w:ascii="Arial Narrow" w:hAnsi="Arial Narrow"/>
                <w:b/>
              </w:rPr>
            </w:pPr>
            <w:r w:rsidRPr="00A946C9">
              <w:rPr>
                <w:rFonts w:ascii="Arial Narrow" w:hAnsi="Arial Narrow"/>
                <w:b/>
              </w:rPr>
              <w:t>Position</w:t>
            </w:r>
          </w:p>
        </w:tc>
        <w:tc>
          <w:tcPr>
            <w:tcW w:w="1681" w:type="dxa"/>
            <w:shd w:val="clear" w:color="auto" w:fill="E6E6E6"/>
          </w:tcPr>
          <w:p w:rsidR="00416B50" w:rsidRPr="00A946C9" w:rsidRDefault="00416B50" w:rsidP="006B3D3A">
            <w:pPr>
              <w:spacing w:before="20" w:after="20"/>
              <w:rPr>
                <w:rFonts w:ascii="Arial Narrow" w:hAnsi="Arial Narrow"/>
                <w:b/>
              </w:rPr>
            </w:pPr>
            <w:r w:rsidRPr="00A946C9">
              <w:rPr>
                <w:rFonts w:ascii="Arial Narrow" w:hAnsi="Arial Narrow"/>
                <w:b/>
              </w:rPr>
              <w:t>Name</w:t>
            </w:r>
          </w:p>
        </w:tc>
        <w:tc>
          <w:tcPr>
            <w:tcW w:w="1605" w:type="dxa"/>
            <w:shd w:val="clear" w:color="auto" w:fill="E6E6E6"/>
          </w:tcPr>
          <w:p w:rsidR="00416B50" w:rsidRPr="00A946C9" w:rsidRDefault="00416B50" w:rsidP="006B3D3A">
            <w:pPr>
              <w:spacing w:before="20" w:after="20"/>
              <w:rPr>
                <w:rFonts w:ascii="Arial Narrow" w:hAnsi="Arial Narrow"/>
                <w:b/>
              </w:rPr>
            </w:pPr>
            <w:r w:rsidRPr="00A946C9">
              <w:rPr>
                <w:rFonts w:ascii="Arial Narrow" w:hAnsi="Arial Narrow"/>
                <w:b/>
              </w:rPr>
              <w:t>Work Phone</w:t>
            </w:r>
          </w:p>
        </w:tc>
        <w:tc>
          <w:tcPr>
            <w:tcW w:w="3298" w:type="dxa"/>
            <w:shd w:val="clear" w:color="auto" w:fill="E6E6E6"/>
          </w:tcPr>
          <w:p w:rsidR="00416B50" w:rsidRPr="00A946C9" w:rsidRDefault="00416B50" w:rsidP="006B3D3A">
            <w:pPr>
              <w:spacing w:before="20" w:after="20"/>
              <w:rPr>
                <w:rFonts w:ascii="Arial Narrow" w:hAnsi="Arial Narrow"/>
                <w:b/>
              </w:rPr>
            </w:pPr>
            <w:r w:rsidRPr="00A946C9">
              <w:rPr>
                <w:rFonts w:ascii="Arial Narrow" w:hAnsi="Arial Narrow"/>
                <w:b/>
              </w:rPr>
              <w:t>E-mail Address</w:t>
            </w:r>
          </w:p>
        </w:tc>
      </w:tr>
      <w:tr w:rsidR="00416B50" w:rsidRPr="00A946C9" w:rsidTr="006B3D3A">
        <w:tc>
          <w:tcPr>
            <w:tcW w:w="1688" w:type="dxa"/>
            <w:shd w:val="clear" w:color="auto" w:fill="auto"/>
            <w:vAlign w:val="center"/>
          </w:tcPr>
          <w:p w:rsidR="00416B50" w:rsidRPr="00A946C9" w:rsidRDefault="00416B50" w:rsidP="006B3D3A">
            <w:pPr>
              <w:rPr>
                <w:rFonts w:ascii="Arial" w:hAnsi="Arial" w:cs="Arial"/>
                <w:sz w:val="17"/>
                <w:szCs w:val="17"/>
              </w:rPr>
            </w:pPr>
            <w:r w:rsidRPr="00A946C9">
              <w:rPr>
                <w:rFonts w:ascii="Arial" w:hAnsi="Arial" w:cs="Arial"/>
                <w:sz w:val="17"/>
                <w:szCs w:val="17"/>
              </w:rPr>
              <w:t>General Manager</w:t>
            </w:r>
            <w:r w:rsidR="00CF1A95">
              <w:rPr>
                <w:rFonts w:ascii="Arial" w:hAnsi="Arial" w:cs="Arial"/>
                <w:sz w:val="17"/>
                <w:szCs w:val="17"/>
              </w:rPr>
              <w:t>,</w:t>
            </w:r>
            <w:r w:rsidRPr="00A946C9">
              <w:rPr>
                <w:rFonts w:ascii="Arial" w:hAnsi="Arial" w:cs="Arial"/>
                <w:sz w:val="17"/>
                <w:szCs w:val="17"/>
              </w:rPr>
              <w:t xml:space="preserve"> Operations</w:t>
            </w:r>
          </w:p>
        </w:tc>
        <w:tc>
          <w:tcPr>
            <w:tcW w:w="1681" w:type="dxa"/>
            <w:shd w:val="clear" w:color="auto" w:fill="auto"/>
            <w:vAlign w:val="center"/>
          </w:tcPr>
          <w:p w:rsidR="00416B50" w:rsidRPr="00A946C9" w:rsidRDefault="00CF1A95" w:rsidP="006B3D3A">
            <w:pPr>
              <w:rPr>
                <w:rFonts w:ascii="Arial" w:hAnsi="Arial" w:cs="Arial"/>
                <w:sz w:val="17"/>
                <w:szCs w:val="17"/>
              </w:rPr>
            </w:pPr>
            <w:r>
              <w:rPr>
                <w:rFonts w:ascii="Arial" w:hAnsi="Arial" w:cs="Arial"/>
                <w:sz w:val="17"/>
                <w:szCs w:val="17"/>
              </w:rPr>
              <w:t xml:space="preserve">Paula </w:t>
            </w:r>
            <w:proofErr w:type="spellStart"/>
            <w:r>
              <w:rPr>
                <w:rFonts w:ascii="Arial" w:hAnsi="Arial" w:cs="Arial"/>
                <w:sz w:val="17"/>
                <w:szCs w:val="17"/>
              </w:rPr>
              <w:t>Attrill</w:t>
            </w:r>
            <w:proofErr w:type="spellEnd"/>
          </w:p>
        </w:tc>
        <w:tc>
          <w:tcPr>
            <w:tcW w:w="1605" w:type="dxa"/>
            <w:shd w:val="clear" w:color="auto" w:fill="auto"/>
            <w:vAlign w:val="center"/>
          </w:tcPr>
          <w:p w:rsidR="00416B50" w:rsidRPr="00A946C9" w:rsidRDefault="00CF1A95" w:rsidP="006B3D3A">
            <w:pPr>
              <w:rPr>
                <w:rFonts w:ascii="Arial" w:hAnsi="Arial" w:cs="Arial"/>
                <w:sz w:val="17"/>
                <w:szCs w:val="17"/>
              </w:rPr>
            </w:pPr>
            <w:r>
              <w:rPr>
                <w:rFonts w:ascii="Arial" w:hAnsi="Arial" w:cs="Arial"/>
                <w:sz w:val="17"/>
                <w:szCs w:val="17"/>
              </w:rPr>
              <w:t>(04) 918-9168</w:t>
            </w:r>
          </w:p>
        </w:tc>
        <w:tc>
          <w:tcPr>
            <w:tcW w:w="3298" w:type="dxa"/>
            <w:shd w:val="clear" w:color="auto" w:fill="auto"/>
            <w:vAlign w:val="center"/>
          </w:tcPr>
          <w:p w:rsidR="00416B50" w:rsidRPr="00A946C9" w:rsidRDefault="00CF1A95" w:rsidP="006B3D3A">
            <w:pPr>
              <w:rPr>
                <w:rFonts w:ascii="Arial" w:hAnsi="Arial" w:cs="Arial"/>
                <w:sz w:val="17"/>
                <w:szCs w:val="17"/>
              </w:rPr>
            </w:pPr>
            <w:r>
              <w:rPr>
                <w:rFonts w:ascii="Arial" w:hAnsi="Arial" w:cs="Arial"/>
                <w:sz w:val="17"/>
                <w:szCs w:val="17"/>
              </w:rPr>
              <w:t>Paula.Attrill001@cyf.govt.nz</w:t>
            </w:r>
            <w:r w:rsidR="00416B50" w:rsidRPr="00A946C9">
              <w:rPr>
                <w:rFonts w:ascii="Arial" w:hAnsi="Arial" w:cs="Arial"/>
                <w:sz w:val="17"/>
                <w:szCs w:val="17"/>
              </w:rPr>
              <w:t xml:space="preserve"> </w:t>
            </w:r>
          </w:p>
        </w:tc>
      </w:tr>
      <w:tr w:rsidR="00416B50" w:rsidRPr="00A946C9" w:rsidTr="006B3D3A">
        <w:tc>
          <w:tcPr>
            <w:tcW w:w="1688" w:type="dxa"/>
            <w:shd w:val="clear" w:color="auto" w:fill="auto"/>
            <w:vAlign w:val="center"/>
          </w:tcPr>
          <w:p w:rsidR="00416B50" w:rsidRPr="00A946C9" w:rsidRDefault="00416B50" w:rsidP="006B3D3A">
            <w:pPr>
              <w:rPr>
                <w:rFonts w:ascii="Arial" w:hAnsi="Arial" w:cs="Arial"/>
                <w:sz w:val="17"/>
                <w:szCs w:val="17"/>
              </w:rPr>
            </w:pPr>
            <w:r>
              <w:rPr>
                <w:rFonts w:ascii="Arial" w:hAnsi="Arial" w:cs="Arial"/>
                <w:sz w:val="17"/>
                <w:szCs w:val="17"/>
              </w:rPr>
              <w:t>General Manager, Residential &amp; High Needs Services</w:t>
            </w:r>
          </w:p>
        </w:tc>
        <w:tc>
          <w:tcPr>
            <w:tcW w:w="1681" w:type="dxa"/>
            <w:shd w:val="clear" w:color="auto" w:fill="auto"/>
            <w:vAlign w:val="center"/>
          </w:tcPr>
          <w:p w:rsidR="00416B50" w:rsidRPr="00A946C9" w:rsidDel="00CD772E" w:rsidRDefault="00775B94" w:rsidP="006B3D3A">
            <w:pPr>
              <w:rPr>
                <w:rFonts w:ascii="Arial" w:hAnsi="Arial" w:cs="Arial"/>
                <w:sz w:val="17"/>
                <w:szCs w:val="17"/>
              </w:rPr>
            </w:pPr>
            <w:r>
              <w:rPr>
                <w:rFonts w:ascii="Arial" w:hAnsi="Arial" w:cs="Arial"/>
                <w:sz w:val="17"/>
                <w:szCs w:val="17"/>
              </w:rPr>
              <w:t xml:space="preserve">Nova </w:t>
            </w:r>
            <w:proofErr w:type="spellStart"/>
            <w:r>
              <w:rPr>
                <w:rFonts w:ascii="Arial" w:hAnsi="Arial" w:cs="Arial"/>
                <w:sz w:val="17"/>
                <w:szCs w:val="17"/>
              </w:rPr>
              <w:t>Salomen</w:t>
            </w:r>
            <w:proofErr w:type="spellEnd"/>
            <w:r>
              <w:rPr>
                <w:rFonts w:ascii="Arial" w:hAnsi="Arial" w:cs="Arial"/>
                <w:sz w:val="17"/>
                <w:szCs w:val="17"/>
              </w:rPr>
              <w:t>*</w:t>
            </w:r>
          </w:p>
        </w:tc>
        <w:tc>
          <w:tcPr>
            <w:tcW w:w="1605" w:type="dxa"/>
            <w:shd w:val="clear" w:color="auto" w:fill="auto"/>
            <w:vAlign w:val="center"/>
          </w:tcPr>
          <w:p w:rsidR="00416B50" w:rsidRPr="00A946C9" w:rsidRDefault="00416B50" w:rsidP="006B3D3A">
            <w:pPr>
              <w:rPr>
                <w:rFonts w:ascii="Arial" w:hAnsi="Arial" w:cs="Arial"/>
                <w:sz w:val="17"/>
                <w:szCs w:val="17"/>
              </w:rPr>
            </w:pPr>
            <w:r w:rsidRPr="00A946C9">
              <w:rPr>
                <w:rFonts w:ascii="Arial" w:hAnsi="Arial" w:cs="Arial"/>
                <w:sz w:val="17"/>
                <w:szCs w:val="17"/>
              </w:rPr>
              <w:t>(04) 918</w:t>
            </w:r>
            <w:r w:rsidR="00CF1A95">
              <w:rPr>
                <w:rFonts w:ascii="Arial" w:hAnsi="Arial" w:cs="Arial"/>
                <w:sz w:val="17"/>
                <w:szCs w:val="17"/>
              </w:rPr>
              <w:t>-</w:t>
            </w:r>
            <w:r w:rsidR="00775B94">
              <w:rPr>
                <w:rFonts w:ascii="Arial" w:hAnsi="Arial" w:cs="Arial"/>
                <w:sz w:val="17"/>
                <w:szCs w:val="17"/>
              </w:rPr>
              <w:t>0045</w:t>
            </w:r>
          </w:p>
        </w:tc>
        <w:tc>
          <w:tcPr>
            <w:tcW w:w="3298" w:type="dxa"/>
            <w:shd w:val="clear" w:color="auto" w:fill="auto"/>
            <w:vAlign w:val="center"/>
          </w:tcPr>
          <w:p w:rsidR="00416B50" w:rsidRPr="00775B94" w:rsidRDefault="00FA3F55" w:rsidP="006B3D3A">
            <w:pPr>
              <w:rPr>
                <w:rFonts w:ascii="Arial" w:hAnsi="Arial" w:cs="Arial"/>
                <w:sz w:val="17"/>
                <w:szCs w:val="17"/>
              </w:rPr>
            </w:pPr>
            <w:hyperlink r:id="rId12" w:history="1">
              <w:r w:rsidR="00775B94" w:rsidRPr="00775B94">
                <w:rPr>
                  <w:rStyle w:val="Hyperlink"/>
                  <w:rFonts w:ascii="Arial" w:hAnsi="Arial" w:cs="Arial"/>
                  <w:color w:val="auto"/>
                  <w:sz w:val="17"/>
                  <w:szCs w:val="17"/>
                </w:rPr>
                <w:t>nova.salomen001@cyf.govt.nz</w:t>
              </w:r>
            </w:hyperlink>
          </w:p>
        </w:tc>
      </w:tr>
      <w:tr w:rsidR="00416B50" w:rsidRPr="00A946C9" w:rsidTr="006B3D3A">
        <w:tc>
          <w:tcPr>
            <w:tcW w:w="1688" w:type="dxa"/>
            <w:shd w:val="clear" w:color="auto" w:fill="auto"/>
            <w:vAlign w:val="center"/>
          </w:tcPr>
          <w:p w:rsidR="00416B50" w:rsidRPr="00A946C9" w:rsidRDefault="00416B50" w:rsidP="006B3D3A">
            <w:pPr>
              <w:rPr>
                <w:rFonts w:ascii="Arial" w:hAnsi="Arial" w:cs="Arial"/>
                <w:sz w:val="17"/>
                <w:szCs w:val="17"/>
              </w:rPr>
            </w:pPr>
            <w:r w:rsidRPr="00A946C9">
              <w:rPr>
                <w:rFonts w:ascii="Arial" w:hAnsi="Arial" w:cs="Arial"/>
                <w:sz w:val="17"/>
                <w:szCs w:val="17"/>
              </w:rPr>
              <w:t>Chief Social Worker</w:t>
            </w:r>
          </w:p>
        </w:tc>
        <w:tc>
          <w:tcPr>
            <w:tcW w:w="1681" w:type="dxa"/>
            <w:shd w:val="clear" w:color="auto" w:fill="auto"/>
            <w:vAlign w:val="center"/>
          </w:tcPr>
          <w:p w:rsidR="00416B50" w:rsidRPr="00A946C9" w:rsidRDefault="00416B50" w:rsidP="006B3D3A">
            <w:pPr>
              <w:rPr>
                <w:rFonts w:ascii="Arial" w:hAnsi="Arial" w:cs="Arial"/>
                <w:sz w:val="17"/>
                <w:szCs w:val="17"/>
              </w:rPr>
            </w:pPr>
            <w:r w:rsidRPr="00A946C9">
              <w:rPr>
                <w:rFonts w:ascii="Arial" w:hAnsi="Arial" w:cs="Arial"/>
                <w:sz w:val="17"/>
                <w:szCs w:val="17"/>
              </w:rPr>
              <w:t>Paul Nixon</w:t>
            </w:r>
          </w:p>
        </w:tc>
        <w:tc>
          <w:tcPr>
            <w:tcW w:w="1605" w:type="dxa"/>
            <w:shd w:val="clear" w:color="auto" w:fill="auto"/>
            <w:vAlign w:val="center"/>
          </w:tcPr>
          <w:p w:rsidR="00416B50" w:rsidRPr="00A946C9" w:rsidRDefault="00416B50" w:rsidP="006B3D3A">
            <w:pPr>
              <w:rPr>
                <w:rFonts w:ascii="Arial" w:hAnsi="Arial" w:cs="Arial"/>
                <w:sz w:val="17"/>
                <w:szCs w:val="17"/>
              </w:rPr>
            </w:pPr>
            <w:r w:rsidRPr="00A946C9">
              <w:rPr>
                <w:rFonts w:ascii="Arial" w:hAnsi="Arial" w:cs="Arial"/>
                <w:sz w:val="17"/>
                <w:szCs w:val="17"/>
              </w:rPr>
              <w:t>(04) 918</w:t>
            </w:r>
            <w:r w:rsidR="00CF1A95">
              <w:rPr>
                <w:rFonts w:ascii="Arial" w:hAnsi="Arial" w:cs="Arial"/>
                <w:sz w:val="17"/>
                <w:szCs w:val="17"/>
              </w:rPr>
              <w:t>-</w:t>
            </w:r>
            <w:r w:rsidRPr="00A946C9">
              <w:rPr>
                <w:rFonts w:ascii="Arial" w:hAnsi="Arial" w:cs="Arial"/>
                <w:sz w:val="17"/>
                <w:szCs w:val="17"/>
              </w:rPr>
              <w:t>9164</w:t>
            </w:r>
          </w:p>
        </w:tc>
        <w:tc>
          <w:tcPr>
            <w:tcW w:w="3298" w:type="dxa"/>
            <w:shd w:val="clear" w:color="auto" w:fill="auto"/>
            <w:vAlign w:val="center"/>
          </w:tcPr>
          <w:p w:rsidR="00416B50" w:rsidRPr="00A946C9" w:rsidRDefault="00416B50" w:rsidP="006B3D3A">
            <w:pPr>
              <w:rPr>
                <w:rFonts w:ascii="Arial" w:hAnsi="Arial" w:cs="Arial"/>
                <w:sz w:val="17"/>
                <w:szCs w:val="17"/>
              </w:rPr>
            </w:pPr>
            <w:r w:rsidRPr="00A946C9">
              <w:rPr>
                <w:rFonts w:ascii="Arial" w:hAnsi="Arial" w:cs="Arial"/>
                <w:sz w:val="17"/>
                <w:szCs w:val="17"/>
              </w:rPr>
              <w:t>Paul.Nixon004@cyf.govt.nz</w:t>
            </w:r>
          </w:p>
        </w:tc>
      </w:tr>
      <w:tr w:rsidR="00416B50" w:rsidRPr="00A946C9" w:rsidTr="006B3D3A">
        <w:tc>
          <w:tcPr>
            <w:tcW w:w="1688" w:type="dxa"/>
            <w:shd w:val="clear" w:color="auto" w:fill="auto"/>
            <w:vAlign w:val="center"/>
          </w:tcPr>
          <w:p w:rsidR="00416B50" w:rsidRPr="00A946C9" w:rsidRDefault="00416B50" w:rsidP="006B3D3A">
            <w:pPr>
              <w:rPr>
                <w:rFonts w:ascii="Arial" w:hAnsi="Arial" w:cs="Arial"/>
                <w:sz w:val="17"/>
                <w:szCs w:val="17"/>
              </w:rPr>
            </w:pPr>
            <w:r>
              <w:rPr>
                <w:rFonts w:ascii="Arial" w:hAnsi="Arial" w:cs="Arial"/>
                <w:sz w:val="17"/>
                <w:szCs w:val="17"/>
              </w:rPr>
              <w:t xml:space="preserve">General </w:t>
            </w:r>
            <w:r w:rsidRPr="00A946C9">
              <w:rPr>
                <w:rFonts w:ascii="Arial" w:hAnsi="Arial" w:cs="Arial"/>
                <w:sz w:val="17"/>
                <w:szCs w:val="17"/>
              </w:rPr>
              <w:t>Manager, Youth Justice Support</w:t>
            </w:r>
          </w:p>
        </w:tc>
        <w:tc>
          <w:tcPr>
            <w:tcW w:w="1681" w:type="dxa"/>
            <w:shd w:val="clear" w:color="auto" w:fill="auto"/>
            <w:vAlign w:val="center"/>
          </w:tcPr>
          <w:p w:rsidR="00416B50" w:rsidRPr="00A946C9" w:rsidRDefault="00416B50" w:rsidP="006B3D3A">
            <w:pPr>
              <w:rPr>
                <w:rFonts w:ascii="Arial" w:hAnsi="Arial" w:cs="Arial"/>
                <w:sz w:val="17"/>
                <w:szCs w:val="17"/>
              </w:rPr>
            </w:pPr>
            <w:r w:rsidRPr="00A946C9">
              <w:rPr>
                <w:rFonts w:ascii="Arial" w:hAnsi="Arial" w:cs="Arial"/>
                <w:sz w:val="17"/>
                <w:szCs w:val="17"/>
              </w:rPr>
              <w:t xml:space="preserve">Chris </w:t>
            </w:r>
            <w:proofErr w:type="spellStart"/>
            <w:r w:rsidRPr="00A946C9">
              <w:rPr>
                <w:rFonts w:ascii="Arial" w:hAnsi="Arial" w:cs="Arial"/>
                <w:sz w:val="17"/>
                <w:szCs w:val="17"/>
              </w:rPr>
              <w:t>Polaschek</w:t>
            </w:r>
            <w:proofErr w:type="spellEnd"/>
          </w:p>
        </w:tc>
        <w:tc>
          <w:tcPr>
            <w:tcW w:w="1605" w:type="dxa"/>
            <w:shd w:val="clear" w:color="auto" w:fill="auto"/>
            <w:vAlign w:val="center"/>
          </w:tcPr>
          <w:p w:rsidR="00416B50" w:rsidRPr="00A946C9" w:rsidRDefault="00CF1A95" w:rsidP="006B3D3A">
            <w:pPr>
              <w:rPr>
                <w:rFonts w:ascii="Arial" w:hAnsi="Arial" w:cs="Arial"/>
                <w:sz w:val="17"/>
                <w:szCs w:val="17"/>
              </w:rPr>
            </w:pPr>
            <w:r>
              <w:rPr>
                <w:rFonts w:ascii="Arial" w:hAnsi="Arial" w:cs="Arial"/>
                <w:sz w:val="17"/>
                <w:szCs w:val="17"/>
              </w:rPr>
              <w:t>(04) 918-</w:t>
            </w:r>
            <w:r w:rsidR="00416B50" w:rsidRPr="00A946C9">
              <w:rPr>
                <w:rFonts w:ascii="Arial" w:hAnsi="Arial" w:cs="Arial"/>
                <w:sz w:val="17"/>
                <w:szCs w:val="17"/>
              </w:rPr>
              <w:t>9176</w:t>
            </w:r>
          </w:p>
        </w:tc>
        <w:tc>
          <w:tcPr>
            <w:tcW w:w="3298" w:type="dxa"/>
            <w:shd w:val="clear" w:color="auto" w:fill="auto"/>
            <w:vAlign w:val="center"/>
          </w:tcPr>
          <w:p w:rsidR="00416B50" w:rsidRPr="00A946C9" w:rsidRDefault="00416B50" w:rsidP="006B3D3A">
            <w:pPr>
              <w:rPr>
                <w:rFonts w:ascii="Arial" w:hAnsi="Arial" w:cs="Arial"/>
                <w:sz w:val="17"/>
                <w:szCs w:val="17"/>
              </w:rPr>
            </w:pPr>
            <w:r w:rsidRPr="00A946C9">
              <w:rPr>
                <w:rFonts w:ascii="Arial" w:hAnsi="Arial" w:cs="Arial"/>
                <w:sz w:val="17"/>
                <w:szCs w:val="17"/>
              </w:rPr>
              <w:t>Chris.polaschek002@cyf.govt.nz</w:t>
            </w:r>
          </w:p>
        </w:tc>
      </w:tr>
    </w:tbl>
    <w:p w:rsidR="00416B50" w:rsidRPr="00F83E68" w:rsidRDefault="00F83E68" w:rsidP="006C41E5">
      <w:pPr>
        <w:rPr>
          <w:sz w:val="18"/>
          <w:szCs w:val="18"/>
        </w:rPr>
      </w:pPr>
      <w:r w:rsidRPr="00F83E68">
        <w:rPr>
          <w:sz w:val="18"/>
          <w:szCs w:val="18"/>
        </w:rPr>
        <w:t xml:space="preserve">*Note Chris </w:t>
      </w:r>
      <w:proofErr w:type="spellStart"/>
      <w:r w:rsidRPr="00F83E68">
        <w:rPr>
          <w:sz w:val="18"/>
          <w:szCs w:val="18"/>
        </w:rPr>
        <w:t>Polaschek</w:t>
      </w:r>
      <w:proofErr w:type="spellEnd"/>
      <w:r w:rsidRPr="00F83E68">
        <w:rPr>
          <w:sz w:val="18"/>
          <w:szCs w:val="18"/>
        </w:rPr>
        <w:t xml:space="preserve"> is currently looking after the Youth Justice Residences and this may continue into next year.</w:t>
      </w:r>
    </w:p>
    <w:sectPr w:rsidR="00416B50" w:rsidRPr="00F83E68" w:rsidSect="006C41E5">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F55" w:rsidRDefault="00FA3F55" w:rsidP="006C41E5">
      <w:pPr>
        <w:spacing w:after="0" w:line="240" w:lineRule="auto"/>
      </w:pPr>
      <w:r>
        <w:separator/>
      </w:r>
    </w:p>
  </w:endnote>
  <w:endnote w:type="continuationSeparator" w:id="0">
    <w:p w:rsidR="00FA3F55" w:rsidRDefault="00FA3F55" w:rsidP="006C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venirMaori-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AvenirMaori-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E5" w:rsidRDefault="00632CCF">
    <w:pPr>
      <w:pStyle w:val="Footer"/>
      <w:jc w:val="right"/>
    </w:pPr>
    <w:r>
      <w:fldChar w:fldCharType="begin"/>
    </w:r>
    <w:r>
      <w:instrText xml:space="preserve"> PAGE   \* MERGEFORMAT </w:instrText>
    </w:r>
    <w:r>
      <w:fldChar w:fldCharType="separate"/>
    </w:r>
    <w:r w:rsidR="00E957C4">
      <w:rPr>
        <w:noProof/>
      </w:rPr>
      <w:t>4</w:t>
    </w:r>
    <w:r>
      <w:rPr>
        <w:noProof/>
      </w:rPr>
      <w:fldChar w:fldCharType="end"/>
    </w:r>
  </w:p>
  <w:p w:rsidR="006C41E5" w:rsidRDefault="006C41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Pr="00416B50" w:rsidRDefault="00416B50">
    <w:pPr>
      <w:pStyle w:val="Footer"/>
    </w:pPr>
    <w:r w:rsidRPr="00416B50">
      <w:t xml:space="preserve">New Zealand </w:t>
    </w:r>
    <w:r w:rsidR="0011782B" w:rsidRPr="00416B50">
      <w:t>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F55" w:rsidRDefault="00FA3F55" w:rsidP="006C41E5">
      <w:pPr>
        <w:spacing w:after="0" w:line="240" w:lineRule="auto"/>
      </w:pPr>
      <w:r>
        <w:separator/>
      </w:r>
    </w:p>
  </w:footnote>
  <w:footnote w:type="continuationSeparator" w:id="0">
    <w:p w:rsidR="00FA3F55" w:rsidRDefault="00FA3F55" w:rsidP="006C41E5">
      <w:pPr>
        <w:spacing w:after="0" w:line="240" w:lineRule="auto"/>
      </w:pPr>
      <w:r>
        <w:continuationSeparator/>
      </w:r>
    </w:p>
  </w:footnote>
  <w:footnote w:id="1">
    <w:p w:rsidR="009218BC" w:rsidRPr="00F83E68" w:rsidRDefault="009218BC" w:rsidP="009218BC">
      <w:pPr>
        <w:pStyle w:val="FootnoteText"/>
        <w:rPr>
          <w:rFonts w:asciiTheme="minorHAnsi" w:hAnsiTheme="minorHAnsi" w:cstheme="minorHAnsi"/>
          <w:sz w:val="18"/>
          <w:szCs w:val="18"/>
        </w:rPr>
      </w:pPr>
      <w:r w:rsidRPr="00F83E68">
        <w:rPr>
          <w:rStyle w:val="FootnoteReference"/>
          <w:rFonts w:asciiTheme="minorHAnsi" w:hAnsiTheme="minorHAnsi" w:cstheme="minorHAnsi"/>
          <w:sz w:val="18"/>
          <w:szCs w:val="18"/>
        </w:rPr>
        <w:footnoteRef/>
      </w:r>
      <w:r w:rsidRPr="00F83E68">
        <w:rPr>
          <w:rFonts w:asciiTheme="minorHAnsi" w:hAnsiTheme="minorHAnsi" w:cstheme="minorHAnsi"/>
          <w:sz w:val="18"/>
          <w:szCs w:val="18"/>
        </w:rPr>
        <w:t xml:space="preserve"> Some young offenders have benefitted from participating in multiple Fresh Start programmes. The total number of Fresh Start programmes does not represent the total number of young offenders.</w:t>
      </w:r>
    </w:p>
  </w:footnote>
  <w:footnote w:id="2">
    <w:p w:rsidR="009218BC" w:rsidRPr="00F83E68" w:rsidRDefault="009218BC" w:rsidP="009218BC">
      <w:pPr>
        <w:pStyle w:val="FootnoteText"/>
        <w:rPr>
          <w:rFonts w:asciiTheme="minorHAnsi" w:hAnsiTheme="minorHAnsi" w:cstheme="minorHAnsi"/>
          <w:sz w:val="18"/>
          <w:szCs w:val="18"/>
        </w:rPr>
      </w:pPr>
      <w:r w:rsidRPr="00F83E68">
        <w:rPr>
          <w:rStyle w:val="FootnoteReference"/>
          <w:rFonts w:asciiTheme="minorHAnsi" w:hAnsiTheme="minorHAnsi" w:cstheme="minorHAnsi"/>
          <w:sz w:val="18"/>
          <w:szCs w:val="18"/>
        </w:rPr>
        <w:footnoteRef/>
      </w:r>
      <w:r w:rsidRPr="00F83E68">
        <w:rPr>
          <w:rFonts w:asciiTheme="minorHAnsi" w:hAnsiTheme="minorHAnsi" w:cstheme="minorHAnsi"/>
          <w:sz w:val="18"/>
          <w:szCs w:val="18"/>
        </w:rPr>
        <w:t xml:space="preserve"> Some young people had more than one YJFGC. The total number of YJFGCs does not represent the total number of children and young people.</w:t>
      </w:r>
    </w:p>
  </w:footnote>
  <w:footnote w:id="3">
    <w:p w:rsidR="009218BC" w:rsidRPr="00F83E68" w:rsidRDefault="009218BC" w:rsidP="009218BC">
      <w:pPr>
        <w:pStyle w:val="FootnoteText"/>
        <w:rPr>
          <w:rFonts w:asciiTheme="minorHAnsi" w:hAnsiTheme="minorHAnsi" w:cstheme="minorHAnsi"/>
          <w:sz w:val="18"/>
          <w:szCs w:val="18"/>
        </w:rPr>
      </w:pPr>
      <w:r w:rsidRPr="00F83E68">
        <w:rPr>
          <w:rStyle w:val="FootnoteReference"/>
          <w:rFonts w:asciiTheme="minorHAnsi" w:hAnsiTheme="minorHAnsi" w:cstheme="minorHAnsi"/>
          <w:sz w:val="18"/>
          <w:szCs w:val="18"/>
        </w:rPr>
        <w:footnoteRef/>
      </w:r>
      <w:r w:rsidRPr="00F83E68">
        <w:rPr>
          <w:rFonts w:asciiTheme="minorHAnsi" w:hAnsiTheme="minorHAnsi" w:cstheme="minorHAnsi"/>
          <w:sz w:val="18"/>
          <w:szCs w:val="18"/>
        </w:rPr>
        <w:t xml:space="preserve"> </w:t>
      </w:r>
      <w:proofErr w:type="gramStart"/>
      <w:r w:rsidRPr="00F83E68">
        <w:rPr>
          <w:rFonts w:asciiTheme="minorHAnsi" w:hAnsiTheme="minorHAnsi" w:cstheme="minorHAnsi"/>
          <w:sz w:val="18"/>
          <w:szCs w:val="18"/>
        </w:rPr>
        <w:t>A</w:t>
      </w:r>
      <w:proofErr w:type="gramEnd"/>
      <w:r w:rsidRPr="00F83E68">
        <w:rPr>
          <w:rFonts w:asciiTheme="minorHAnsi" w:hAnsiTheme="minorHAnsi" w:cstheme="minorHAnsi"/>
          <w:sz w:val="18"/>
          <w:szCs w:val="18"/>
        </w:rPr>
        <w:t xml:space="preserve"> YJFGC does not necessarily result in a Family Group Conference plan being agreed on.</w:t>
      </w:r>
    </w:p>
  </w:footnote>
  <w:footnote w:id="4">
    <w:p w:rsidR="009218BC" w:rsidRDefault="009218BC" w:rsidP="009218BC">
      <w:pPr>
        <w:pStyle w:val="FootnoteText"/>
      </w:pPr>
      <w:r w:rsidRPr="00F83E68">
        <w:rPr>
          <w:rStyle w:val="FootnoteReference"/>
          <w:rFonts w:asciiTheme="minorHAnsi" w:hAnsiTheme="minorHAnsi" w:cstheme="minorHAnsi"/>
          <w:sz w:val="18"/>
          <w:szCs w:val="18"/>
        </w:rPr>
        <w:footnoteRef/>
      </w:r>
      <w:r w:rsidRPr="00F83E68">
        <w:rPr>
          <w:rFonts w:asciiTheme="minorHAnsi" w:hAnsiTheme="minorHAnsi" w:cstheme="minorHAnsi"/>
          <w:sz w:val="18"/>
          <w:szCs w:val="18"/>
        </w:rPr>
        <w:t xml:space="preserve"> Not all YJFGCs have an identified victim </w:t>
      </w:r>
      <w:proofErr w:type="spellStart"/>
      <w:r w:rsidRPr="00F83E68">
        <w:rPr>
          <w:rFonts w:asciiTheme="minorHAnsi" w:hAnsiTheme="minorHAnsi" w:cstheme="minorHAnsi"/>
          <w:sz w:val="18"/>
          <w:szCs w:val="18"/>
        </w:rPr>
        <w:t>eg</w:t>
      </w:r>
      <w:proofErr w:type="spellEnd"/>
      <w:r w:rsidRPr="00F83E68">
        <w:rPr>
          <w:rFonts w:asciiTheme="minorHAnsi" w:hAnsiTheme="minorHAnsi" w:cstheme="minorHAnsi"/>
          <w:sz w:val="18"/>
          <w:szCs w:val="18"/>
        </w:rPr>
        <w:t xml:space="preserve"> offences involving property damage.</w:t>
      </w:r>
    </w:p>
  </w:footnote>
  <w:footnote w:id="5">
    <w:p w:rsidR="002663E2" w:rsidRDefault="002663E2">
      <w:pPr>
        <w:pStyle w:val="FootnoteText"/>
      </w:pPr>
      <w:r>
        <w:rPr>
          <w:rStyle w:val="FootnoteReference"/>
        </w:rPr>
        <w:footnoteRef/>
      </w:r>
      <w:r>
        <w:t xml:space="preserve"> </w:t>
      </w:r>
      <w:r w:rsidRPr="002663E2">
        <w:t>March 2014, Knowledge &amp; Insights Group produced the Reoffending Patterns of Military-style Activity Camp Participants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Default="0011782B" w:rsidP="0011782B">
    <w:pPr>
      <w:pStyle w:val="Header"/>
      <w:pBdr>
        <w:bottom w:val="single" w:sz="4" w:space="1" w:color="auto"/>
      </w:pBdr>
      <w:rPr>
        <w:rFonts w:ascii="Arial" w:hAnsi="Arial"/>
        <w:color w:val="808080"/>
        <w:sz w:val="14"/>
      </w:rPr>
    </w:pPr>
    <w:r>
      <w:rPr>
        <w:rFonts w:ascii="Arial" w:hAnsi="Arial"/>
        <w:color w:val="808080"/>
        <w:sz w:val="14"/>
      </w:rPr>
      <w:t>Australasian Juvenile Justi</w:t>
    </w:r>
    <w:r w:rsidR="00416B50">
      <w:rPr>
        <w:rFonts w:ascii="Arial" w:hAnsi="Arial"/>
        <w:color w:val="808080"/>
        <w:sz w:val="14"/>
      </w:rPr>
      <w:t xml:space="preserve">ce Administrators Meeting – </w:t>
    </w:r>
    <w:r w:rsidR="004F1E06">
      <w:rPr>
        <w:rFonts w:ascii="Arial" w:hAnsi="Arial"/>
        <w:color w:val="808080"/>
        <w:sz w:val="14"/>
      </w:rPr>
      <w:t>13-14 November 2014</w:t>
    </w:r>
    <w:r>
      <w:rPr>
        <w:rFonts w:ascii="Arial" w:hAnsi="Arial"/>
        <w:color w:val="808080"/>
        <w:sz w:val="14"/>
      </w:rPr>
      <w:t xml:space="preserve"> </w:t>
    </w:r>
    <w:r>
      <w:rPr>
        <w:rFonts w:ascii="Arial" w:hAnsi="Arial"/>
        <w:color w:val="808080"/>
        <w:sz w:val="14"/>
      </w:rPr>
      <w:tab/>
    </w:r>
    <w:r w:rsidR="00416B50">
      <w:rPr>
        <w:noProof/>
        <w:lang w:eastAsia="en-AU"/>
      </w:rPr>
      <w:drawing>
        <wp:inline distT="0" distB="0" distL="0" distR="0" wp14:anchorId="32892D87" wp14:editId="53A47141">
          <wp:extent cx="1301750" cy="552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52450"/>
                  </a:xfrm>
                  <a:prstGeom prst="rect">
                    <a:avLst/>
                  </a:prstGeom>
                  <a:noFill/>
                  <a:ln>
                    <a:noFill/>
                  </a:ln>
                </pic:spPr>
              </pic:pic>
            </a:graphicData>
          </a:graphic>
        </wp:inline>
      </w:drawing>
    </w:r>
  </w:p>
  <w:p w:rsidR="0011782B" w:rsidRDefault="00117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82B" w:rsidRDefault="00416B50">
    <w:pPr>
      <w:pStyle w:val="Header"/>
    </w:pPr>
    <w:r>
      <w:rPr>
        <w:noProof/>
        <w:lang w:eastAsia="en-AU"/>
      </w:rPr>
      <w:drawing>
        <wp:inline distT="0" distB="0" distL="0" distR="0">
          <wp:extent cx="130175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3A75"/>
    <w:multiLevelType w:val="hybridMultilevel"/>
    <w:tmpl w:val="D32CF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3255536"/>
    <w:multiLevelType w:val="multilevel"/>
    <w:tmpl w:val="8B90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63DEA"/>
    <w:multiLevelType w:val="hybridMultilevel"/>
    <w:tmpl w:val="DF566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C3217C1"/>
    <w:multiLevelType w:val="hybridMultilevel"/>
    <w:tmpl w:val="0A04A4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0C2F3D"/>
    <w:multiLevelType w:val="hybridMultilevel"/>
    <w:tmpl w:val="EEFCE4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FD45B9E"/>
    <w:multiLevelType w:val="hybridMultilevel"/>
    <w:tmpl w:val="0AE41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56B6715"/>
    <w:multiLevelType w:val="hybridMultilevel"/>
    <w:tmpl w:val="B5088D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A821C94"/>
    <w:multiLevelType w:val="hybridMultilevel"/>
    <w:tmpl w:val="FBDE3FB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8">
    <w:nsid w:val="20EB7D5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9469FF"/>
    <w:multiLevelType w:val="hybridMultilevel"/>
    <w:tmpl w:val="329042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24F5740B"/>
    <w:multiLevelType w:val="hybridMultilevel"/>
    <w:tmpl w:val="1442A3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54451D9"/>
    <w:multiLevelType w:val="hybridMultilevel"/>
    <w:tmpl w:val="861C53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27F46F5B"/>
    <w:multiLevelType w:val="hybridMultilevel"/>
    <w:tmpl w:val="652836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2BB201EC"/>
    <w:multiLevelType w:val="hybridMultilevel"/>
    <w:tmpl w:val="D4EE5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30427E7F"/>
    <w:multiLevelType w:val="hybridMultilevel"/>
    <w:tmpl w:val="0D5E442C"/>
    <w:lvl w:ilvl="0" w:tplc="6AC80674">
      <w:start w:val="16"/>
      <w:numFmt w:val="bullet"/>
      <w:lvlText w:val="-"/>
      <w:lvlJc w:val="left"/>
      <w:pPr>
        <w:ind w:left="360" w:hanging="360"/>
      </w:pPr>
      <w:rPr>
        <w:rFonts w:ascii="Arial Mäori" w:eastAsiaTheme="minorHAnsi" w:hAnsi="Arial Mäori" w:cs="AvenirMaori-Medium"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2480939"/>
    <w:multiLevelType w:val="hybridMultilevel"/>
    <w:tmpl w:val="0D5866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46EC073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437176B"/>
    <w:multiLevelType w:val="hybridMultilevel"/>
    <w:tmpl w:val="2CD8E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55C01BC"/>
    <w:multiLevelType w:val="hybridMultilevel"/>
    <w:tmpl w:val="695EA6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9CE0839"/>
    <w:multiLevelType w:val="hybridMultilevel"/>
    <w:tmpl w:val="132030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23D17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A578E8"/>
    <w:multiLevelType w:val="hybridMultilevel"/>
    <w:tmpl w:val="3D2E8E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F4324E"/>
    <w:multiLevelType w:val="hybridMultilevel"/>
    <w:tmpl w:val="36B64E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6DFE76A1"/>
    <w:multiLevelType w:val="hybridMultilevel"/>
    <w:tmpl w:val="ADAC2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FB37CCA"/>
    <w:multiLevelType w:val="hybridMultilevel"/>
    <w:tmpl w:val="CE201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7F3726CF"/>
    <w:multiLevelType w:val="hybridMultilevel"/>
    <w:tmpl w:val="0A9662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5"/>
  </w:num>
  <w:num w:numId="4">
    <w:abstractNumId w:val="23"/>
  </w:num>
  <w:num w:numId="5">
    <w:abstractNumId w:val="4"/>
  </w:num>
  <w:num w:numId="6">
    <w:abstractNumId w:val="25"/>
  </w:num>
  <w:num w:numId="7">
    <w:abstractNumId w:val="17"/>
  </w:num>
  <w:num w:numId="8">
    <w:abstractNumId w:val="1"/>
  </w:num>
  <w:num w:numId="9">
    <w:abstractNumId w:val="7"/>
  </w:num>
  <w:num w:numId="10">
    <w:abstractNumId w:val="22"/>
  </w:num>
  <w:num w:numId="11">
    <w:abstractNumId w:val="12"/>
  </w:num>
  <w:num w:numId="12">
    <w:abstractNumId w:val="14"/>
  </w:num>
  <w:num w:numId="13">
    <w:abstractNumId w:val="19"/>
  </w:num>
  <w:num w:numId="14">
    <w:abstractNumId w:val="9"/>
  </w:num>
  <w:num w:numId="15">
    <w:abstractNumId w:val="11"/>
  </w:num>
  <w:num w:numId="16">
    <w:abstractNumId w:val="16"/>
  </w:num>
  <w:num w:numId="17">
    <w:abstractNumId w:val="21"/>
  </w:num>
  <w:num w:numId="18">
    <w:abstractNumId w:val="2"/>
  </w:num>
  <w:num w:numId="19">
    <w:abstractNumId w:val="10"/>
  </w:num>
  <w:num w:numId="20">
    <w:abstractNumId w:val="15"/>
  </w:num>
  <w:num w:numId="21">
    <w:abstractNumId w:val="13"/>
  </w:num>
  <w:num w:numId="22">
    <w:abstractNumId w:val="18"/>
  </w:num>
  <w:num w:numId="23">
    <w:abstractNumId w:val="6"/>
  </w:num>
  <w:num w:numId="24">
    <w:abstractNumId w:val="24"/>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70"/>
    <w:rsid w:val="0000345F"/>
    <w:rsid w:val="00067C32"/>
    <w:rsid w:val="00076FBC"/>
    <w:rsid w:val="000B16EB"/>
    <w:rsid w:val="000F4D71"/>
    <w:rsid w:val="00102610"/>
    <w:rsid w:val="0011782B"/>
    <w:rsid w:val="00163E14"/>
    <w:rsid w:val="00191804"/>
    <w:rsid w:val="001D2C7E"/>
    <w:rsid w:val="001D3CF3"/>
    <w:rsid w:val="001E7903"/>
    <w:rsid w:val="002663E2"/>
    <w:rsid w:val="002910D0"/>
    <w:rsid w:val="002A516E"/>
    <w:rsid w:val="002D4AA1"/>
    <w:rsid w:val="002F46FC"/>
    <w:rsid w:val="00336B1A"/>
    <w:rsid w:val="00350FB9"/>
    <w:rsid w:val="00355713"/>
    <w:rsid w:val="00365AC5"/>
    <w:rsid w:val="00390670"/>
    <w:rsid w:val="003A2DF4"/>
    <w:rsid w:val="003B600B"/>
    <w:rsid w:val="003C2308"/>
    <w:rsid w:val="00400A47"/>
    <w:rsid w:val="00416B50"/>
    <w:rsid w:val="004462B4"/>
    <w:rsid w:val="004732A6"/>
    <w:rsid w:val="0048758C"/>
    <w:rsid w:val="004D5F9A"/>
    <w:rsid w:val="004F1E06"/>
    <w:rsid w:val="004F32B4"/>
    <w:rsid w:val="00521BE0"/>
    <w:rsid w:val="005563A7"/>
    <w:rsid w:val="005F3B6F"/>
    <w:rsid w:val="006165A1"/>
    <w:rsid w:val="00632CCF"/>
    <w:rsid w:val="006474B3"/>
    <w:rsid w:val="0068447B"/>
    <w:rsid w:val="00687CE5"/>
    <w:rsid w:val="006A5529"/>
    <w:rsid w:val="006C41E5"/>
    <w:rsid w:val="006D057F"/>
    <w:rsid w:val="006D4499"/>
    <w:rsid w:val="006E2652"/>
    <w:rsid w:val="006E44A1"/>
    <w:rsid w:val="006E47DD"/>
    <w:rsid w:val="00713E9E"/>
    <w:rsid w:val="0071555D"/>
    <w:rsid w:val="00755A28"/>
    <w:rsid w:val="00775B94"/>
    <w:rsid w:val="007C34DC"/>
    <w:rsid w:val="00824E72"/>
    <w:rsid w:val="008379D8"/>
    <w:rsid w:val="00882C09"/>
    <w:rsid w:val="008B0A68"/>
    <w:rsid w:val="008B5321"/>
    <w:rsid w:val="008E6EC1"/>
    <w:rsid w:val="009112C1"/>
    <w:rsid w:val="009218BC"/>
    <w:rsid w:val="00983647"/>
    <w:rsid w:val="0098732C"/>
    <w:rsid w:val="009D1B1C"/>
    <w:rsid w:val="00A104C2"/>
    <w:rsid w:val="00A35CF1"/>
    <w:rsid w:val="00A7666E"/>
    <w:rsid w:val="00A80188"/>
    <w:rsid w:val="00A9309A"/>
    <w:rsid w:val="00AA301D"/>
    <w:rsid w:val="00AB675E"/>
    <w:rsid w:val="00AD6774"/>
    <w:rsid w:val="00B07EC3"/>
    <w:rsid w:val="00BB7D31"/>
    <w:rsid w:val="00BC64F3"/>
    <w:rsid w:val="00BD3189"/>
    <w:rsid w:val="00BD756B"/>
    <w:rsid w:val="00C14BF0"/>
    <w:rsid w:val="00C32AD5"/>
    <w:rsid w:val="00C44A19"/>
    <w:rsid w:val="00C45085"/>
    <w:rsid w:val="00C64AA4"/>
    <w:rsid w:val="00C77065"/>
    <w:rsid w:val="00C83B57"/>
    <w:rsid w:val="00CC531D"/>
    <w:rsid w:val="00CF1A95"/>
    <w:rsid w:val="00D10B4D"/>
    <w:rsid w:val="00D966BA"/>
    <w:rsid w:val="00DB44D4"/>
    <w:rsid w:val="00DC0A47"/>
    <w:rsid w:val="00DC5BBE"/>
    <w:rsid w:val="00DE5C48"/>
    <w:rsid w:val="00E20C40"/>
    <w:rsid w:val="00E91B6F"/>
    <w:rsid w:val="00E91C19"/>
    <w:rsid w:val="00E91F3F"/>
    <w:rsid w:val="00E957C4"/>
    <w:rsid w:val="00EF6F93"/>
    <w:rsid w:val="00F83E68"/>
    <w:rsid w:val="00F86F21"/>
    <w:rsid w:val="00FA3F55"/>
    <w:rsid w:val="00FB4EE7"/>
    <w:rsid w:val="00FE0305"/>
    <w:rsid w:val="00FF70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D5"/>
    <w:pPr>
      <w:spacing w:after="200" w:line="276" w:lineRule="auto"/>
    </w:pPr>
    <w:rPr>
      <w:sz w:val="22"/>
      <w:szCs w:val="22"/>
      <w:lang w:eastAsia="en-US"/>
    </w:rPr>
  </w:style>
  <w:style w:type="paragraph" w:styleId="Heading1">
    <w:name w:val="heading 1"/>
    <w:basedOn w:val="Normal"/>
    <w:next w:val="Normal"/>
    <w:link w:val="Heading1Char"/>
    <w:uiPriority w:val="9"/>
    <w:qFormat/>
    <w:rsid w:val="006C41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07EC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E5"/>
    <w:rPr>
      <w:rFonts w:ascii="Tahoma" w:hAnsi="Tahoma" w:cs="Tahoma"/>
      <w:sz w:val="16"/>
      <w:szCs w:val="16"/>
    </w:rPr>
  </w:style>
  <w:style w:type="character" w:customStyle="1" w:styleId="Heading1Char">
    <w:name w:val="Heading 1 Char"/>
    <w:basedOn w:val="DefaultParagraphFont"/>
    <w:link w:val="Heading1"/>
    <w:uiPriority w:val="9"/>
    <w:rsid w:val="006C41E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6C41E5"/>
    <w:pPr>
      <w:outlineLvl w:val="9"/>
    </w:pPr>
    <w:rPr>
      <w:lang w:val="en-US"/>
    </w:rPr>
  </w:style>
  <w:style w:type="paragraph" w:styleId="TOC1">
    <w:name w:val="toc 1"/>
    <w:basedOn w:val="Normal"/>
    <w:next w:val="Normal"/>
    <w:autoRedefine/>
    <w:uiPriority w:val="39"/>
    <w:unhideWhenUsed/>
    <w:rsid w:val="006C41E5"/>
    <w:pPr>
      <w:spacing w:after="100"/>
    </w:pPr>
  </w:style>
  <w:style w:type="character" w:styleId="Hyperlink">
    <w:name w:val="Hyperlink"/>
    <w:basedOn w:val="DefaultParagraphFont"/>
    <w:uiPriority w:val="99"/>
    <w:unhideWhenUsed/>
    <w:rsid w:val="006C41E5"/>
    <w:rPr>
      <w:color w:val="0000FF"/>
      <w:u w:val="single"/>
    </w:rPr>
  </w:style>
  <w:style w:type="paragraph" w:styleId="Header">
    <w:name w:val="header"/>
    <w:basedOn w:val="Normal"/>
    <w:link w:val="HeaderChar"/>
    <w:unhideWhenUsed/>
    <w:rsid w:val="006C4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E5"/>
  </w:style>
  <w:style w:type="paragraph" w:styleId="Footer">
    <w:name w:val="footer"/>
    <w:basedOn w:val="Normal"/>
    <w:link w:val="FooterChar"/>
    <w:uiPriority w:val="99"/>
    <w:unhideWhenUsed/>
    <w:rsid w:val="006C4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E5"/>
  </w:style>
  <w:style w:type="character" w:customStyle="1" w:styleId="Heading2Char">
    <w:name w:val="Heading 2 Char"/>
    <w:basedOn w:val="DefaultParagraphFont"/>
    <w:link w:val="Heading2"/>
    <w:uiPriority w:val="9"/>
    <w:rsid w:val="00B07EC3"/>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B07EC3"/>
    <w:pPr>
      <w:spacing w:after="100"/>
      <w:ind w:left="220"/>
    </w:pPr>
  </w:style>
  <w:style w:type="paragraph" w:styleId="ListParagraph">
    <w:name w:val="List Paragraph"/>
    <w:basedOn w:val="Normal"/>
    <w:link w:val="ListParagraphChar"/>
    <w:uiPriority w:val="34"/>
    <w:qFormat/>
    <w:rsid w:val="009112C1"/>
    <w:pPr>
      <w:ind w:left="720"/>
      <w:contextualSpacing/>
    </w:pPr>
  </w:style>
  <w:style w:type="paragraph" w:styleId="NormalWeb">
    <w:name w:val="Normal (Web)"/>
    <w:basedOn w:val="Normal"/>
    <w:uiPriority w:val="99"/>
    <w:semiHidden/>
    <w:unhideWhenUsed/>
    <w:rsid w:val="00390670"/>
    <w:pPr>
      <w:spacing w:before="100" w:beforeAutospacing="1" w:after="100" w:afterAutospacing="1" w:line="240" w:lineRule="auto"/>
    </w:pPr>
    <w:rPr>
      <w:rFonts w:ascii="Times New Roman" w:eastAsiaTheme="minorEastAsia" w:hAnsi="Times New Roman"/>
      <w:sz w:val="24"/>
      <w:szCs w:val="24"/>
      <w:lang w:val="en-NZ" w:eastAsia="en-NZ"/>
    </w:rPr>
  </w:style>
  <w:style w:type="table" w:styleId="TableGrid">
    <w:name w:val="Table Grid"/>
    <w:basedOn w:val="TableNormal"/>
    <w:uiPriority w:val="59"/>
    <w:rsid w:val="002910D0"/>
    <w:rPr>
      <w:rFonts w:ascii="Arial" w:eastAsiaTheme="minorHAnsi" w:hAnsi="Arial" w:cstheme="minorBidi"/>
      <w:sz w:val="22"/>
      <w:szCs w:val="22"/>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218BC"/>
    <w:pPr>
      <w:spacing w:after="0" w:line="240" w:lineRule="auto"/>
    </w:pPr>
    <w:rPr>
      <w:rFonts w:ascii="Arial Mäori" w:eastAsiaTheme="minorHAnsi" w:hAnsi="Arial Mäori" w:cstheme="minorBidi"/>
      <w:sz w:val="20"/>
      <w:szCs w:val="20"/>
      <w:lang w:val="en-NZ"/>
    </w:rPr>
  </w:style>
  <w:style w:type="character" w:customStyle="1" w:styleId="FootnoteTextChar">
    <w:name w:val="Footnote Text Char"/>
    <w:basedOn w:val="DefaultParagraphFont"/>
    <w:link w:val="FootnoteText"/>
    <w:uiPriority w:val="99"/>
    <w:semiHidden/>
    <w:rsid w:val="009218BC"/>
    <w:rPr>
      <w:rFonts w:ascii="Arial Mäori" w:eastAsiaTheme="minorHAnsi" w:hAnsi="Arial Mäori" w:cstheme="minorBidi"/>
      <w:lang w:val="en-NZ" w:eastAsia="en-US"/>
    </w:rPr>
  </w:style>
  <w:style w:type="character" w:styleId="FootnoteReference">
    <w:name w:val="footnote reference"/>
    <w:basedOn w:val="DefaultParagraphFont"/>
    <w:uiPriority w:val="99"/>
    <w:semiHidden/>
    <w:rsid w:val="009218BC"/>
    <w:rPr>
      <w:vertAlign w:val="superscript"/>
    </w:rPr>
  </w:style>
  <w:style w:type="paragraph" w:styleId="PlainText">
    <w:name w:val="Plain Text"/>
    <w:basedOn w:val="Normal"/>
    <w:link w:val="PlainTextChar"/>
    <w:uiPriority w:val="99"/>
    <w:unhideWhenUsed/>
    <w:rsid w:val="00C64AA4"/>
    <w:pPr>
      <w:spacing w:after="0" w:line="240" w:lineRule="auto"/>
    </w:pPr>
    <w:rPr>
      <w:rFonts w:ascii="Arial Mäori" w:eastAsia="Times New Roman" w:hAnsi="Arial Mäori" w:cs="Consolas"/>
      <w:szCs w:val="21"/>
      <w:lang w:val="en-NZ"/>
    </w:rPr>
  </w:style>
  <w:style w:type="character" w:customStyle="1" w:styleId="PlainTextChar">
    <w:name w:val="Plain Text Char"/>
    <w:basedOn w:val="DefaultParagraphFont"/>
    <w:link w:val="PlainText"/>
    <w:uiPriority w:val="99"/>
    <w:rsid w:val="00C64AA4"/>
    <w:rPr>
      <w:rFonts w:ascii="Arial Mäori" w:eastAsia="Times New Roman" w:hAnsi="Arial Mäori" w:cs="Consolas"/>
      <w:sz w:val="22"/>
      <w:szCs w:val="21"/>
      <w:lang w:val="en-NZ" w:eastAsia="en-US"/>
    </w:rPr>
  </w:style>
  <w:style w:type="character" w:customStyle="1" w:styleId="ListParagraphChar">
    <w:name w:val="List Paragraph Char"/>
    <w:basedOn w:val="DefaultParagraphFont"/>
    <w:link w:val="ListParagraph"/>
    <w:uiPriority w:val="34"/>
    <w:locked/>
    <w:rsid w:val="00336B1A"/>
    <w:rPr>
      <w:sz w:val="22"/>
      <w:szCs w:val="22"/>
      <w:lang w:eastAsia="en-US"/>
    </w:rPr>
  </w:style>
  <w:style w:type="character" w:styleId="CommentReference">
    <w:name w:val="annotation reference"/>
    <w:basedOn w:val="DefaultParagraphFont"/>
    <w:uiPriority w:val="99"/>
    <w:semiHidden/>
    <w:unhideWhenUsed/>
    <w:rsid w:val="002D4AA1"/>
    <w:rPr>
      <w:sz w:val="16"/>
      <w:szCs w:val="16"/>
    </w:rPr>
  </w:style>
  <w:style w:type="paragraph" w:styleId="CommentText">
    <w:name w:val="annotation text"/>
    <w:basedOn w:val="Normal"/>
    <w:link w:val="CommentTextChar"/>
    <w:uiPriority w:val="99"/>
    <w:semiHidden/>
    <w:unhideWhenUsed/>
    <w:rsid w:val="002D4AA1"/>
    <w:pPr>
      <w:spacing w:line="240" w:lineRule="auto"/>
    </w:pPr>
    <w:rPr>
      <w:sz w:val="20"/>
      <w:szCs w:val="20"/>
    </w:rPr>
  </w:style>
  <w:style w:type="character" w:customStyle="1" w:styleId="CommentTextChar">
    <w:name w:val="Comment Text Char"/>
    <w:basedOn w:val="DefaultParagraphFont"/>
    <w:link w:val="CommentText"/>
    <w:uiPriority w:val="99"/>
    <w:semiHidden/>
    <w:rsid w:val="002D4AA1"/>
    <w:rPr>
      <w:lang w:eastAsia="en-US"/>
    </w:rPr>
  </w:style>
  <w:style w:type="paragraph" w:styleId="CommentSubject">
    <w:name w:val="annotation subject"/>
    <w:basedOn w:val="CommentText"/>
    <w:next w:val="CommentText"/>
    <w:link w:val="CommentSubjectChar"/>
    <w:uiPriority w:val="99"/>
    <w:semiHidden/>
    <w:unhideWhenUsed/>
    <w:rsid w:val="002D4AA1"/>
    <w:rPr>
      <w:b/>
      <w:bCs/>
    </w:rPr>
  </w:style>
  <w:style w:type="character" w:customStyle="1" w:styleId="CommentSubjectChar">
    <w:name w:val="Comment Subject Char"/>
    <w:basedOn w:val="CommentTextChar"/>
    <w:link w:val="CommentSubject"/>
    <w:uiPriority w:val="99"/>
    <w:semiHidden/>
    <w:rsid w:val="002D4AA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D5"/>
    <w:pPr>
      <w:spacing w:after="200" w:line="276" w:lineRule="auto"/>
    </w:pPr>
    <w:rPr>
      <w:sz w:val="22"/>
      <w:szCs w:val="22"/>
      <w:lang w:eastAsia="en-US"/>
    </w:rPr>
  </w:style>
  <w:style w:type="paragraph" w:styleId="Heading1">
    <w:name w:val="heading 1"/>
    <w:basedOn w:val="Normal"/>
    <w:next w:val="Normal"/>
    <w:link w:val="Heading1Char"/>
    <w:uiPriority w:val="9"/>
    <w:qFormat/>
    <w:rsid w:val="006C41E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B07EC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1E5"/>
    <w:rPr>
      <w:rFonts w:ascii="Tahoma" w:hAnsi="Tahoma" w:cs="Tahoma"/>
      <w:sz w:val="16"/>
      <w:szCs w:val="16"/>
    </w:rPr>
  </w:style>
  <w:style w:type="character" w:customStyle="1" w:styleId="Heading1Char">
    <w:name w:val="Heading 1 Char"/>
    <w:basedOn w:val="DefaultParagraphFont"/>
    <w:link w:val="Heading1"/>
    <w:uiPriority w:val="9"/>
    <w:rsid w:val="006C41E5"/>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6C41E5"/>
    <w:pPr>
      <w:outlineLvl w:val="9"/>
    </w:pPr>
    <w:rPr>
      <w:lang w:val="en-US"/>
    </w:rPr>
  </w:style>
  <w:style w:type="paragraph" w:styleId="TOC1">
    <w:name w:val="toc 1"/>
    <w:basedOn w:val="Normal"/>
    <w:next w:val="Normal"/>
    <w:autoRedefine/>
    <w:uiPriority w:val="39"/>
    <w:unhideWhenUsed/>
    <w:rsid w:val="006C41E5"/>
    <w:pPr>
      <w:spacing w:after="100"/>
    </w:pPr>
  </w:style>
  <w:style w:type="character" w:styleId="Hyperlink">
    <w:name w:val="Hyperlink"/>
    <w:basedOn w:val="DefaultParagraphFont"/>
    <w:uiPriority w:val="99"/>
    <w:unhideWhenUsed/>
    <w:rsid w:val="006C41E5"/>
    <w:rPr>
      <w:color w:val="0000FF"/>
      <w:u w:val="single"/>
    </w:rPr>
  </w:style>
  <w:style w:type="paragraph" w:styleId="Header">
    <w:name w:val="header"/>
    <w:basedOn w:val="Normal"/>
    <w:link w:val="HeaderChar"/>
    <w:unhideWhenUsed/>
    <w:rsid w:val="006C4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E5"/>
  </w:style>
  <w:style w:type="paragraph" w:styleId="Footer">
    <w:name w:val="footer"/>
    <w:basedOn w:val="Normal"/>
    <w:link w:val="FooterChar"/>
    <w:uiPriority w:val="99"/>
    <w:unhideWhenUsed/>
    <w:rsid w:val="006C4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E5"/>
  </w:style>
  <w:style w:type="character" w:customStyle="1" w:styleId="Heading2Char">
    <w:name w:val="Heading 2 Char"/>
    <w:basedOn w:val="DefaultParagraphFont"/>
    <w:link w:val="Heading2"/>
    <w:uiPriority w:val="9"/>
    <w:rsid w:val="00B07EC3"/>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B07EC3"/>
    <w:pPr>
      <w:spacing w:after="100"/>
      <w:ind w:left="220"/>
    </w:pPr>
  </w:style>
  <w:style w:type="paragraph" w:styleId="ListParagraph">
    <w:name w:val="List Paragraph"/>
    <w:basedOn w:val="Normal"/>
    <w:link w:val="ListParagraphChar"/>
    <w:uiPriority w:val="34"/>
    <w:qFormat/>
    <w:rsid w:val="009112C1"/>
    <w:pPr>
      <w:ind w:left="720"/>
      <w:contextualSpacing/>
    </w:pPr>
  </w:style>
  <w:style w:type="paragraph" w:styleId="NormalWeb">
    <w:name w:val="Normal (Web)"/>
    <w:basedOn w:val="Normal"/>
    <w:uiPriority w:val="99"/>
    <w:semiHidden/>
    <w:unhideWhenUsed/>
    <w:rsid w:val="00390670"/>
    <w:pPr>
      <w:spacing w:before="100" w:beforeAutospacing="1" w:after="100" w:afterAutospacing="1" w:line="240" w:lineRule="auto"/>
    </w:pPr>
    <w:rPr>
      <w:rFonts w:ascii="Times New Roman" w:eastAsiaTheme="minorEastAsia" w:hAnsi="Times New Roman"/>
      <w:sz w:val="24"/>
      <w:szCs w:val="24"/>
      <w:lang w:val="en-NZ" w:eastAsia="en-NZ"/>
    </w:rPr>
  </w:style>
  <w:style w:type="table" w:styleId="TableGrid">
    <w:name w:val="Table Grid"/>
    <w:basedOn w:val="TableNormal"/>
    <w:uiPriority w:val="59"/>
    <w:rsid w:val="002910D0"/>
    <w:rPr>
      <w:rFonts w:ascii="Arial" w:eastAsiaTheme="minorHAnsi" w:hAnsi="Arial" w:cstheme="minorBidi"/>
      <w:sz w:val="22"/>
      <w:szCs w:val="22"/>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9218BC"/>
    <w:pPr>
      <w:spacing w:after="0" w:line="240" w:lineRule="auto"/>
    </w:pPr>
    <w:rPr>
      <w:rFonts w:ascii="Arial Mäori" w:eastAsiaTheme="minorHAnsi" w:hAnsi="Arial Mäori" w:cstheme="minorBidi"/>
      <w:sz w:val="20"/>
      <w:szCs w:val="20"/>
      <w:lang w:val="en-NZ"/>
    </w:rPr>
  </w:style>
  <w:style w:type="character" w:customStyle="1" w:styleId="FootnoteTextChar">
    <w:name w:val="Footnote Text Char"/>
    <w:basedOn w:val="DefaultParagraphFont"/>
    <w:link w:val="FootnoteText"/>
    <w:uiPriority w:val="99"/>
    <w:semiHidden/>
    <w:rsid w:val="009218BC"/>
    <w:rPr>
      <w:rFonts w:ascii="Arial Mäori" w:eastAsiaTheme="minorHAnsi" w:hAnsi="Arial Mäori" w:cstheme="minorBidi"/>
      <w:lang w:val="en-NZ" w:eastAsia="en-US"/>
    </w:rPr>
  </w:style>
  <w:style w:type="character" w:styleId="FootnoteReference">
    <w:name w:val="footnote reference"/>
    <w:basedOn w:val="DefaultParagraphFont"/>
    <w:uiPriority w:val="99"/>
    <w:semiHidden/>
    <w:rsid w:val="009218BC"/>
    <w:rPr>
      <w:vertAlign w:val="superscript"/>
    </w:rPr>
  </w:style>
  <w:style w:type="paragraph" w:styleId="PlainText">
    <w:name w:val="Plain Text"/>
    <w:basedOn w:val="Normal"/>
    <w:link w:val="PlainTextChar"/>
    <w:uiPriority w:val="99"/>
    <w:unhideWhenUsed/>
    <w:rsid w:val="00C64AA4"/>
    <w:pPr>
      <w:spacing w:after="0" w:line="240" w:lineRule="auto"/>
    </w:pPr>
    <w:rPr>
      <w:rFonts w:ascii="Arial Mäori" w:eastAsia="Times New Roman" w:hAnsi="Arial Mäori" w:cs="Consolas"/>
      <w:szCs w:val="21"/>
      <w:lang w:val="en-NZ"/>
    </w:rPr>
  </w:style>
  <w:style w:type="character" w:customStyle="1" w:styleId="PlainTextChar">
    <w:name w:val="Plain Text Char"/>
    <w:basedOn w:val="DefaultParagraphFont"/>
    <w:link w:val="PlainText"/>
    <w:uiPriority w:val="99"/>
    <w:rsid w:val="00C64AA4"/>
    <w:rPr>
      <w:rFonts w:ascii="Arial Mäori" w:eastAsia="Times New Roman" w:hAnsi="Arial Mäori" w:cs="Consolas"/>
      <w:sz w:val="22"/>
      <w:szCs w:val="21"/>
      <w:lang w:val="en-NZ" w:eastAsia="en-US"/>
    </w:rPr>
  </w:style>
  <w:style w:type="character" w:customStyle="1" w:styleId="ListParagraphChar">
    <w:name w:val="List Paragraph Char"/>
    <w:basedOn w:val="DefaultParagraphFont"/>
    <w:link w:val="ListParagraph"/>
    <w:uiPriority w:val="34"/>
    <w:locked/>
    <w:rsid w:val="00336B1A"/>
    <w:rPr>
      <w:sz w:val="22"/>
      <w:szCs w:val="22"/>
      <w:lang w:eastAsia="en-US"/>
    </w:rPr>
  </w:style>
  <w:style w:type="character" w:styleId="CommentReference">
    <w:name w:val="annotation reference"/>
    <w:basedOn w:val="DefaultParagraphFont"/>
    <w:uiPriority w:val="99"/>
    <w:semiHidden/>
    <w:unhideWhenUsed/>
    <w:rsid w:val="002D4AA1"/>
    <w:rPr>
      <w:sz w:val="16"/>
      <w:szCs w:val="16"/>
    </w:rPr>
  </w:style>
  <w:style w:type="paragraph" w:styleId="CommentText">
    <w:name w:val="annotation text"/>
    <w:basedOn w:val="Normal"/>
    <w:link w:val="CommentTextChar"/>
    <w:uiPriority w:val="99"/>
    <w:semiHidden/>
    <w:unhideWhenUsed/>
    <w:rsid w:val="002D4AA1"/>
    <w:pPr>
      <w:spacing w:line="240" w:lineRule="auto"/>
    </w:pPr>
    <w:rPr>
      <w:sz w:val="20"/>
      <w:szCs w:val="20"/>
    </w:rPr>
  </w:style>
  <w:style w:type="character" w:customStyle="1" w:styleId="CommentTextChar">
    <w:name w:val="Comment Text Char"/>
    <w:basedOn w:val="DefaultParagraphFont"/>
    <w:link w:val="CommentText"/>
    <w:uiPriority w:val="99"/>
    <w:semiHidden/>
    <w:rsid w:val="002D4AA1"/>
    <w:rPr>
      <w:lang w:eastAsia="en-US"/>
    </w:rPr>
  </w:style>
  <w:style w:type="paragraph" w:styleId="CommentSubject">
    <w:name w:val="annotation subject"/>
    <w:basedOn w:val="CommentText"/>
    <w:next w:val="CommentText"/>
    <w:link w:val="CommentSubjectChar"/>
    <w:uiPriority w:val="99"/>
    <w:semiHidden/>
    <w:unhideWhenUsed/>
    <w:rsid w:val="002D4AA1"/>
    <w:rPr>
      <w:b/>
      <w:bCs/>
    </w:rPr>
  </w:style>
  <w:style w:type="character" w:customStyle="1" w:styleId="CommentSubjectChar">
    <w:name w:val="Comment Subject Char"/>
    <w:basedOn w:val="CommentTextChar"/>
    <w:link w:val="CommentSubject"/>
    <w:uiPriority w:val="99"/>
    <w:semiHidden/>
    <w:rsid w:val="002D4A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3512">
      <w:bodyDiv w:val="1"/>
      <w:marLeft w:val="0"/>
      <w:marRight w:val="0"/>
      <w:marTop w:val="0"/>
      <w:marBottom w:val="0"/>
      <w:divBdr>
        <w:top w:val="none" w:sz="0" w:space="0" w:color="auto"/>
        <w:left w:val="none" w:sz="0" w:space="0" w:color="auto"/>
        <w:bottom w:val="none" w:sz="0" w:space="0" w:color="auto"/>
        <w:right w:val="none" w:sz="0" w:space="0" w:color="auto"/>
      </w:divBdr>
    </w:div>
    <w:div w:id="1381595393">
      <w:bodyDiv w:val="1"/>
      <w:marLeft w:val="0"/>
      <w:marRight w:val="0"/>
      <w:marTop w:val="0"/>
      <w:marBottom w:val="0"/>
      <w:divBdr>
        <w:top w:val="none" w:sz="0" w:space="0" w:color="auto"/>
        <w:left w:val="none" w:sz="0" w:space="0" w:color="auto"/>
        <w:bottom w:val="none" w:sz="0" w:space="0" w:color="auto"/>
        <w:right w:val="none" w:sz="0" w:space="0" w:color="auto"/>
      </w:divBdr>
    </w:div>
    <w:div w:id="1998609948">
      <w:bodyDiv w:val="1"/>
      <w:marLeft w:val="0"/>
      <w:marRight w:val="0"/>
      <w:marTop w:val="0"/>
      <w:marBottom w:val="0"/>
      <w:divBdr>
        <w:top w:val="none" w:sz="0" w:space="0" w:color="auto"/>
        <w:left w:val="none" w:sz="0" w:space="0" w:color="auto"/>
        <w:bottom w:val="none" w:sz="0" w:space="0" w:color="auto"/>
        <w:right w:val="none" w:sz="0" w:space="0" w:color="auto"/>
      </w:divBdr>
      <w:divsChild>
        <w:div w:id="651834331">
          <w:marLeft w:val="0"/>
          <w:marRight w:val="0"/>
          <w:marTop w:val="0"/>
          <w:marBottom w:val="0"/>
          <w:divBdr>
            <w:top w:val="none" w:sz="0" w:space="0" w:color="auto"/>
            <w:left w:val="none" w:sz="0" w:space="0" w:color="auto"/>
            <w:bottom w:val="none" w:sz="0" w:space="0" w:color="auto"/>
            <w:right w:val="none" w:sz="0" w:space="0" w:color="auto"/>
          </w:divBdr>
          <w:divsChild>
            <w:div w:id="1814833739">
              <w:marLeft w:val="0"/>
              <w:marRight w:val="0"/>
              <w:marTop w:val="0"/>
              <w:marBottom w:val="0"/>
              <w:divBdr>
                <w:top w:val="none" w:sz="0" w:space="0" w:color="auto"/>
                <w:left w:val="none" w:sz="0" w:space="0" w:color="auto"/>
                <w:bottom w:val="none" w:sz="0" w:space="0" w:color="auto"/>
                <w:right w:val="none" w:sz="0" w:space="0" w:color="auto"/>
              </w:divBdr>
              <w:divsChild>
                <w:div w:id="1936208862">
                  <w:marLeft w:val="0"/>
                  <w:marRight w:val="0"/>
                  <w:marTop w:val="0"/>
                  <w:marBottom w:val="0"/>
                  <w:divBdr>
                    <w:top w:val="none" w:sz="0" w:space="0" w:color="auto"/>
                    <w:left w:val="none" w:sz="0" w:space="0" w:color="auto"/>
                    <w:bottom w:val="none" w:sz="0" w:space="0" w:color="auto"/>
                    <w:right w:val="none" w:sz="0" w:space="0" w:color="auto"/>
                  </w:divBdr>
                  <w:divsChild>
                    <w:div w:id="63340122">
                      <w:marLeft w:val="0"/>
                      <w:marRight w:val="0"/>
                      <w:marTop w:val="0"/>
                      <w:marBottom w:val="0"/>
                      <w:divBdr>
                        <w:top w:val="none" w:sz="0" w:space="0" w:color="auto"/>
                        <w:left w:val="none" w:sz="0" w:space="0" w:color="auto"/>
                        <w:bottom w:val="none" w:sz="0" w:space="0" w:color="auto"/>
                        <w:right w:val="none" w:sz="0" w:space="0" w:color="auto"/>
                      </w:divBdr>
                      <w:divsChild>
                        <w:div w:id="546718528">
                          <w:marLeft w:val="0"/>
                          <w:marRight w:val="0"/>
                          <w:marTop w:val="0"/>
                          <w:marBottom w:val="0"/>
                          <w:divBdr>
                            <w:top w:val="none" w:sz="0" w:space="0" w:color="auto"/>
                            <w:left w:val="none" w:sz="0" w:space="0" w:color="auto"/>
                            <w:bottom w:val="none" w:sz="0" w:space="0" w:color="auto"/>
                            <w:right w:val="none" w:sz="0" w:space="0" w:color="auto"/>
                          </w:divBdr>
                          <w:divsChild>
                            <w:div w:id="1153176461">
                              <w:marLeft w:val="0"/>
                              <w:marRight w:val="0"/>
                              <w:marTop w:val="0"/>
                              <w:marBottom w:val="0"/>
                              <w:divBdr>
                                <w:top w:val="none" w:sz="0" w:space="0" w:color="auto"/>
                                <w:left w:val="none" w:sz="0" w:space="0" w:color="auto"/>
                                <w:bottom w:val="none" w:sz="0" w:space="0" w:color="auto"/>
                                <w:right w:val="none" w:sz="0" w:space="0" w:color="auto"/>
                              </w:divBdr>
                              <w:divsChild>
                                <w:div w:id="3672977">
                                  <w:marLeft w:val="0"/>
                                  <w:marRight w:val="0"/>
                                  <w:marTop w:val="0"/>
                                  <w:marBottom w:val="0"/>
                                  <w:divBdr>
                                    <w:top w:val="none" w:sz="0" w:space="0" w:color="auto"/>
                                    <w:left w:val="none" w:sz="0" w:space="0" w:color="auto"/>
                                    <w:bottom w:val="none" w:sz="0" w:space="0" w:color="auto"/>
                                    <w:right w:val="none" w:sz="0" w:space="0" w:color="auto"/>
                                  </w:divBdr>
                                  <w:divsChild>
                                    <w:div w:id="8964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0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nova.salomen001@cyf.govt.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805229996406753"/>
          <c:y val="5.4179820545687603E-2"/>
          <c:w val="0.74644372303532802"/>
          <c:h val="0.94243385092207144"/>
        </c:manualLayout>
      </c:layout>
      <c:pie3DChart>
        <c:varyColors val="1"/>
        <c:ser>
          <c:idx val="0"/>
          <c:order val="0"/>
          <c:dLbls>
            <c:dLbl>
              <c:idx val="3"/>
              <c:layout>
                <c:manualLayout>
                  <c:x val="-9.354166703015436E-2"/>
                  <c:y val="-0.21100302786601269"/>
                </c:manualLayout>
              </c:layout>
              <c:showLegendKey val="0"/>
              <c:showVal val="1"/>
              <c:showCatName val="0"/>
              <c:showSerName val="0"/>
              <c:showPercent val="0"/>
              <c:showBubbleSize val="0"/>
            </c:dLbl>
            <c:txPr>
              <a:bodyPr/>
              <a:lstStyle/>
              <a:p>
                <a:pPr>
                  <a:defRPr sz="1200" b="1"/>
                </a:pPr>
                <a:endParaRPr lang="en-US"/>
              </a:p>
            </c:txPr>
            <c:showLegendKey val="0"/>
            <c:showVal val="1"/>
            <c:showCatName val="0"/>
            <c:showSerName val="0"/>
            <c:showPercent val="0"/>
            <c:showBubbleSize val="0"/>
            <c:showLeaderLines val="1"/>
          </c:dLbls>
          <c:cat>
            <c:strRef>
              <c:f>'Section 2'!$AE$58:$AI$58</c:f>
              <c:strCache>
                <c:ptCount val="5"/>
                <c:pt idx="0">
                  <c:v>FGC</c:v>
                </c:pt>
                <c:pt idx="1">
                  <c:v>Other</c:v>
                </c:pt>
                <c:pt idx="2">
                  <c:v>Prosecution</c:v>
                </c:pt>
                <c:pt idx="3">
                  <c:v>Warned/Cautioned</c:v>
                </c:pt>
                <c:pt idx="4">
                  <c:v>Youth Aid Section</c:v>
                </c:pt>
              </c:strCache>
            </c:strRef>
          </c:cat>
          <c:val>
            <c:numRef>
              <c:f>'Section 2'!$AE$59:$AI$59</c:f>
              <c:numCache>
                <c:formatCode>General</c:formatCode>
                <c:ptCount val="5"/>
                <c:pt idx="0">
                  <c:v>1127</c:v>
                </c:pt>
                <c:pt idx="1">
                  <c:v>412</c:v>
                </c:pt>
                <c:pt idx="2">
                  <c:v>6557</c:v>
                </c:pt>
                <c:pt idx="3">
                  <c:v>6482</c:v>
                </c:pt>
                <c:pt idx="4">
                  <c:v>12641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2.2568663454259088E-2"/>
          <c:y val="0.86500958310443754"/>
          <c:w val="0.9711079407164892"/>
          <c:h val="0.10056351095647929"/>
        </c:manualLayout>
      </c:layout>
      <c:overlay val="0"/>
      <c:txPr>
        <a:bodyPr/>
        <a:lstStyle/>
        <a:p>
          <a:pPr>
            <a:defRPr sz="1000" b="1"/>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0.03891</cdr:x>
      <cdr:y>0.01905</cdr:y>
    </cdr:from>
    <cdr:to>
      <cdr:x>0.99805</cdr:x>
      <cdr:y>0.11746</cdr:y>
    </cdr:to>
    <cdr:sp macro="" textlink="">
      <cdr:nvSpPr>
        <cdr:cNvPr id="2" name="TextBox 1"/>
        <cdr:cNvSpPr txBox="1"/>
      </cdr:nvSpPr>
      <cdr:spPr>
        <a:xfrm xmlns:a="http://schemas.openxmlformats.org/drawingml/2006/main">
          <a:off x="238122" y="71446"/>
          <a:ext cx="5869757" cy="3690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NZ" sz="1600" b="1"/>
            <a:t>2012-2013  -  10 - 16yrs Apprehensions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BD6FF731B6EBE43A8A89403943665C8" ma:contentTypeVersion="0" ma:contentTypeDescription="Create a new document." ma:contentTypeScope="" ma:versionID="2078169396249738da35e70f0aa9de7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4B07B42-3FA4-43C0-B860-217E9AA67EAC}"/>
</file>

<file path=customXml/itemProps2.xml><?xml version="1.0" encoding="utf-8"?>
<ds:datastoreItem xmlns:ds="http://schemas.openxmlformats.org/officeDocument/2006/customXml" ds:itemID="{FD643734-C6BF-45FE-9027-D73C068529B0}"/>
</file>

<file path=customXml/itemProps3.xml><?xml version="1.0" encoding="utf-8"?>
<ds:datastoreItem xmlns:ds="http://schemas.openxmlformats.org/officeDocument/2006/customXml" ds:itemID="{A72B4324-4A86-4E7C-A9D1-92D22BC317BE}"/>
</file>

<file path=customXml/itemProps4.xml><?xml version="1.0" encoding="utf-8"?>
<ds:datastoreItem xmlns:ds="http://schemas.openxmlformats.org/officeDocument/2006/customXml" ds:itemID="{E2B82C52-140A-43C4-9709-F6BA3E38CBD9}"/>
</file>

<file path=docProps/app.xml><?xml version="1.0" encoding="utf-8"?>
<Properties xmlns="http://schemas.openxmlformats.org/officeDocument/2006/extended-properties" xmlns:vt="http://schemas.openxmlformats.org/officeDocument/2006/docPropsVTypes">
  <Template>Normal</Template>
  <TotalTime>1</TotalTime>
  <Pages>12</Pages>
  <Words>3310</Words>
  <Characters>18870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22136</CharactersWithSpaces>
  <SharedDoc>false</SharedDoc>
  <HLinks>
    <vt:vector size="102" baseType="variant">
      <vt:variant>
        <vt:i4>1507385</vt:i4>
      </vt:variant>
      <vt:variant>
        <vt:i4>101</vt:i4>
      </vt:variant>
      <vt:variant>
        <vt:i4>0</vt:i4>
      </vt:variant>
      <vt:variant>
        <vt:i4>5</vt:i4>
      </vt:variant>
      <vt:variant>
        <vt:lpwstr/>
      </vt:variant>
      <vt:variant>
        <vt:lpwstr>_Toc378846694</vt:lpwstr>
      </vt:variant>
      <vt:variant>
        <vt:i4>1507385</vt:i4>
      </vt:variant>
      <vt:variant>
        <vt:i4>95</vt:i4>
      </vt:variant>
      <vt:variant>
        <vt:i4>0</vt:i4>
      </vt:variant>
      <vt:variant>
        <vt:i4>5</vt:i4>
      </vt:variant>
      <vt:variant>
        <vt:lpwstr/>
      </vt:variant>
      <vt:variant>
        <vt:lpwstr>_Toc378846693</vt:lpwstr>
      </vt:variant>
      <vt:variant>
        <vt:i4>1507385</vt:i4>
      </vt:variant>
      <vt:variant>
        <vt:i4>89</vt:i4>
      </vt:variant>
      <vt:variant>
        <vt:i4>0</vt:i4>
      </vt:variant>
      <vt:variant>
        <vt:i4>5</vt:i4>
      </vt:variant>
      <vt:variant>
        <vt:lpwstr/>
      </vt:variant>
      <vt:variant>
        <vt:lpwstr>_Toc378846692</vt:lpwstr>
      </vt:variant>
      <vt:variant>
        <vt:i4>1507385</vt:i4>
      </vt:variant>
      <vt:variant>
        <vt:i4>83</vt:i4>
      </vt:variant>
      <vt:variant>
        <vt:i4>0</vt:i4>
      </vt:variant>
      <vt:variant>
        <vt:i4>5</vt:i4>
      </vt:variant>
      <vt:variant>
        <vt:lpwstr/>
      </vt:variant>
      <vt:variant>
        <vt:lpwstr>_Toc378846691</vt:lpwstr>
      </vt:variant>
      <vt:variant>
        <vt:i4>1507385</vt:i4>
      </vt:variant>
      <vt:variant>
        <vt:i4>77</vt:i4>
      </vt:variant>
      <vt:variant>
        <vt:i4>0</vt:i4>
      </vt:variant>
      <vt:variant>
        <vt:i4>5</vt:i4>
      </vt:variant>
      <vt:variant>
        <vt:lpwstr/>
      </vt:variant>
      <vt:variant>
        <vt:lpwstr>_Toc378846690</vt:lpwstr>
      </vt:variant>
      <vt:variant>
        <vt:i4>1441849</vt:i4>
      </vt:variant>
      <vt:variant>
        <vt:i4>71</vt:i4>
      </vt:variant>
      <vt:variant>
        <vt:i4>0</vt:i4>
      </vt:variant>
      <vt:variant>
        <vt:i4>5</vt:i4>
      </vt:variant>
      <vt:variant>
        <vt:lpwstr/>
      </vt:variant>
      <vt:variant>
        <vt:lpwstr>_Toc378846689</vt:lpwstr>
      </vt:variant>
      <vt:variant>
        <vt:i4>1441849</vt:i4>
      </vt:variant>
      <vt:variant>
        <vt:i4>65</vt:i4>
      </vt:variant>
      <vt:variant>
        <vt:i4>0</vt:i4>
      </vt:variant>
      <vt:variant>
        <vt:i4>5</vt:i4>
      </vt:variant>
      <vt:variant>
        <vt:lpwstr/>
      </vt:variant>
      <vt:variant>
        <vt:lpwstr>_Toc378846688</vt:lpwstr>
      </vt:variant>
      <vt:variant>
        <vt:i4>1441849</vt:i4>
      </vt:variant>
      <vt:variant>
        <vt:i4>59</vt:i4>
      </vt:variant>
      <vt:variant>
        <vt:i4>0</vt:i4>
      </vt:variant>
      <vt:variant>
        <vt:i4>5</vt:i4>
      </vt:variant>
      <vt:variant>
        <vt:lpwstr/>
      </vt:variant>
      <vt:variant>
        <vt:lpwstr>_Toc378846687</vt:lpwstr>
      </vt:variant>
      <vt:variant>
        <vt:i4>1441849</vt:i4>
      </vt:variant>
      <vt:variant>
        <vt:i4>53</vt:i4>
      </vt:variant>
      <vt:variant>
        <vt:i4>0</vt:i4>
      </vt:variant>
      <vt:variant>
        <vt:i4>5</vt:i4>
      </vt:variant>
      <vt:variant>
        <vt:lpwstr/>
      </vt:variant>
      <vt:variant>
        <vt:lpwstr>_Toc378846686</vt:lpwstr>
      </vt:variant>
      <vt:variant>
        <vt:i4>1441849</vt:i4>
      </vt:variant>
      <vt:variant>
        <vt:i4>47</vt:i4>
      </vt:variant>
      <vt:variant>
        <vt:i4>0</vt:i4>
      </vt:variant>
      <vt:variant>
        <vt:i4>5</vt:i4>
      </vt:variant>
      <vt:variant>
        <vt:lpwstr/>
      </vt:variant>
      <vt:variant>
        <vt:lpwstr>_Toc378846685</vt:lpwstr>
      </vt:variant>
      <vt:variant>
        <vt:i4>1441849</vt:i4>
      </vt:variant>
      <vt:variant>
        <vt:i4>41</vt:i4>
      </vt:variant>
      <vt:variant>
        <vt:i4>0</vt:i4>
      </vt:variant>
      <vt:variant>
        <vt:i4>5</vt:i4>
      </vt:variant>
      <vt:variant>
        <vt:lpwstr/>
      </vt:variant>
      <vt:variant>
        <vt:lpwstr>_Toc378846684</vt:lpwstr>
      </vt:variant>
      <vt:variant>
        <vt:i4>1441849</vt:i4>
      </vt:variant>
      <vt:variant>
        <vt:i4>35</vt:i4>
      </vt:variant>
      <vt:variant>
        <vt:i4>0</vt:i4>
      </vt:variant>
      <vt:variant>
        <vt:i4>5</vt:i4>
      </vt:variant>
      <vt:variant>
        <vt:lpwstr/>
      </vt:variant>
      <vt:variant>
        <vt:lpwstr>_Toc378846683</vt:lpwstr>
      </vt:variant>
      <vt:variant>
        <vt:i4>1441849</vt:i4>
      </vt:variant>
      <vt:variant>
        <vt:i4>29</vt:i4>
      </vt:variant>
      <vt:variant>
        <vt:i4>0</vt:i4>
      </vt:variant>
      <vt:variant>
        <vt:i4>5</vt:i4>
      </vt:variant>
      <vt:variant>
        <vt:lpwstr/>
      </vt:variant>
      <vt:variant>
        <vt:lpwstr>_Toc378846682</vt:lpwstr>
      </vt:variant>
      <vt:variant>
        <vt:i4>1441849</vt:i4>
      </vt:variant>
      <vt:variant>
        <vt:i4>23</vt:i4>
      </vt:variant>
      <vt:variant>
        <vt:i4>0</vt:i4>
      </vt:variant>
      <vt:variant>
        <vt:i4>5</vt:i4>
      </vt:variant>
      <vt:variant>
        <vt:lpwstr/>
      </vt:variant>
      <vt:variant>
        <vt:lpwstr>_Toc378846681</vt:lpwstr>
      </vt:variant>
      <vt:variant>
        <vt:i4>1441849</vt:i4>
      </vt:variant>
      <vt:variant>
        <vt:i4>17</vt:i4>
      </vt:variant>
      <vt:variant>
        <vt:i4>0</vt:i4>
      </vt:variant>
      <vt:variant>
        <vt:i4>5</vt:i4>
      </vt:variant>
      <vt:variant>
        <vt:lpwstr/>
      </vt:variant>
      <vt:variant>
        <vt:lpwstr>_Toc378846680</vt:lpwstr>
      </vt:variant>
      <vt:variant>
        <vt:i4>1638457</vt:i4>
      </vt:variant>
      <vt:variant>
        <vt:i4>11</vt:i4>
      </vt:variant>
      <vt:variant>
        <vt:i4>0</vt:i4>
      </vt:variant>
      <vt:variant>
        <vt:i4>5</vt:i4>
      </vt:variant>
      <vt:variant>
        <vt:lpwstr/>
      </vt:variant>
      <vt:variant>
        <vt:lpwstr>_Toc378846679</vt:lpwstr>
      </vt:variant>
      <vt:variant>
        <vt:i4>1638457</vt:i4>
      </vt:variant>
      <vt:variant>
        <vt:i4>5</vt:i4>
      </vt:variant>
      <vt:variant>
        <vt:i4>0</vt:i4>
      </vt:variant>
      <vt:variant>
        <vt:i4>5</vt:i4>
      </vt:variant>
      <vt:variant>
        <vt:lpwstr/>
      </vt:variant>
      <vt:variant>
        <vt:lpwstr>_Toc378846678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Waaka Poutu</dc:creator>
  <cp:lastModifiedBy>Justine Maynard</cp:lastModifiedBy>
  <cp:revision>2</cp:revision>
  <cp:lastPrinted>2014-10-27T19:22:00Z</cp:lastPrinted>
  <dcterms:created xsi:type="dcterms:W3CDTF">2014-10-28T00:13:00Z</dcterms:created>
  <dcterms:modified xsi:type="dcterms:W3CDTF">2014-10-28T00:13:00Z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0x0101009BD6FF731B6EBE43A8A89403943665C8</vt:lpwstr>
  </property>
</Properties>
</file>