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87" w:rsidRPr="000E5287" w:rsidRDefault="00E13CAD" w:rsidP="000E5287">
      <w:pPr>
        <w:rPr>
          <w:rFonts w:ascii="Times New Roman" w:hAnsi="Times New Roman"/>
          <w:lang w:eastAsia="en-US"/>
        </w:rPr>
      </w:pPr>
      <w:r>
        <w:rPr>
          <w:rFonts w:ascii="Times New Roman" w:hAnsi="Times New Roman"/>
          <w:noProof/>
        </w:rPr>
        <w:pict>
          <v:shapetype id="_x0000_t202" coordsize="21600,21600" o:spt="202" path="m,l,21600r21600,l21600,xe">
            <v:stroke joinstyle="miter"/>
            <v:path gradientshapeok="t" o:connecttype="rect"/>
          </v:shapetype>
          <v:shape id="Text Box 1" o:spid="_x0000_s1026" type="#_x0000_t202" style="position:absolute;margin-left:1in;margin-top:4.2pt;width:384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" strokecolor="white">
            <v:textbox>
              <w:txbxContent>
                <w:p w:rsidR="001C14F2" w:rsidRDefault="001C14F2" w:rsidP="000E5287">
                  <w:pPr>
                    <w:jc w:val="center"/>
                    <w:rPr>
                      <w:rFonts w:cs="Arial"/>
                      <w:b/>
                      <w:color w:val="333399"/>
                      <w:sz w:val="32"/>
                      <w:szCs w:val="32"/>
                    </w:rPr>
                  </w:pPr>
                  <w:r w:rsidRPr="00B96643">
                    <w:rPr>
                      <w:rFonts w:cs="Arial"/>
                      <w:b/>
                      <w:color w:val="333399"/>
                      <w:sz w:val="32"/>
                      <w:szCs w:val="32"/>
                    </w:rPr>
                    <w:t xml:space="preserve">Standing Council on Community and </w:t>
                  </w:r>
                </w:p>
                <w:p w:rsidR="001C14F2" w:rsidRPr="00B96643" w:rsidRDefault="001C14F2" w:rsidP="000E5287">
                  <w:pPr>
                    <w:jc w:val="center"/>
                    <w:rPr>
                      <w:rFonts w:cs="Arial"/>
                      <w:b/>
                      <w:color w:val="333399"/>
                      <w:sz w:val="32"/>
                      <w:szCs w:val="32"/>
                    </w:rPr>
                  </w:pPr>
                  <w:r w:rsidRPr="00B96643">
                    <w:rPr>
                      <w:rFonts w:cs="Arial"/>
                      <w:b/>
                      <w:color w:val="333399"/>
                      <w:sz w:val="32"/>
                      <w:szCs w:val="32"/>
                    </w:rPr>
                    <w:t>Disability Services Advisory Council</w:t>
                  </w:r>
                </w:p>
                <w:p w:rsidR="001C14F2" w:rsidRPr="00405954" w:rsidRDefault="001C14F2" w:rsidP="000E5287">
                  <w:pPr>
                    <w:rPr>
                      <w:color w:val="333399"/>
                      <w:szCs w:val="32"/>
                    </w:rPr>
                  </w:pPr>
                </w:p>
              </w:txbxContent>
            </v:textbox>
          </v:shape>
        </w:pict>
      </w:r>
      <w:r w:rsidR="000E5287" w:rsidRPr="000E5287">
        <w:rPr>
          <w:rFonts w:ascii="Times New Roman" w:hAnsi="Times New Roman"/>
          <w:lang w:eastAsia="en-US"/>
        </w:rPr>
        <w:object w:dxaOrig="150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72.75pt" o:ole="">
            <v:imagedata r:id="rId7" o:title=""/>
          </v:shape>
          <o:OLEObject Type="Embed" ProgID="MSPhotoEd.3" ShapeID="_x0000_i1025" DrawAspect="Content" ObjectID="_1448954387" r:id="rId8"/>
        </w:object>
      </w:r>
    </w:p>
    <w:p w:rsidR="007C00D5" w:rsidRPr="007E0343" w:rsidRDefault="007C00D5" w:rsidP="000D0925">
      <w:pPr>
        <w:rPr>
          <w:b/>
          <w:sz w:val="28"/>
          <w:szCs w:val="28"/>
        </w:rPr>
      </w:pPr>
      <w:r w:rsidRPr="007E0343">
        <w:rPr>
          <w:b/>
          <w:sz w:val="28"/>
          <w:szCs w:val="28"/>
        </w:rPr>
        <w:t>S</w:t>
      </w:r>
      <w:r w:rsidR="007E0343" w:rsidRPr="007E0343">
        <w:rPr>
          <w:b/>
          <w:sz w:val="28"/>
          <w:szCs w:val="28"/>
        </w:rPr>
        <w:t>ummary of f</w:t>
      </w:r>
      <w:r w:rsidR="00034E5F" w:rsidRPr="007E0343">
        <w:rPr>
          <w:b/>
          <w:sz w:val="28"/>
          <w:szCs w:val="28"/>
        </w:rPr>
        <w:t>unding proposal 2014–15</w:t>
      </w:r>
    </w:p>
    <w:p w:rsidR="007E0343" w:rsidRDefault="007E0343" w:rsidP="007C00D5">
      <w:pPr>
        <w:rPr>
          <w:sz w:val="22"/>
          <w:szCs w:val="22"/>
        </w:rPr>
      </w:pPr>
    </w:p>
    <w:p w:rsidR="007E0343" w:rsidRPr="007E0343" w:rsidRDefault="007E0343" w:rsidP="007C00D5">
      <w:pPr>
        <w:rPr>
          <w:b/>
          <w:sz w:val="28"/>
          <w:szCs w:val="28"/>
        </w:rPr>
      </w:pPr>
      <w:r w:rsidRPr="007E0343">
        <w:rPr>
          <w:b/>
          <w:sz w:val="28"/>
          <w:szCs w:val="28"/>
        </w:rPr>
        <w:t>Part A – Project funding</w:t>
      </w:r>
    </w:p>
    <w:p w:rsidR="007E0343" w:rsidRPr="00DD58B2" w:rsidRDefault="007E0343" w:rsidP="007C00D5">
      <w:pP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05"/>
      </w:tblGrid>
      <w:tr w:rsidR="007C00D5" w:rsidRPr="00DD58B2" w:rsidTr="001C14F2">
        <w:trPr>
          <w:cantSplit/>
        </w:trPr>
        <w:tc>
          <w:tcPr>
            <w:tcW w:w="9072" w:type="dxa"/>
            <w:gridSpan w:val="2"/>
          </w:tcPr>
          <w:p w:rsidR="007C00D5" w:rsidRPr="00DD58B2" w:rsidRDefault="00290A34" w:rsidP="008946EF">
            <w:pPr>
              <w:spacing w:before="120" w:after="120"/>
              <w:jc w:val="both"/>
              <w:rPr>
                <w:b/>
                <w:szCs w:val="22"/>
              </w:rPr>
            </w:pPr>
            <w:r>
              <w:rPr>
                <w:b/>
                <w:sz w:val="22"/>
                <w:szCs w:val="22"/>
              </w:rPr>
              <w:t>Sub</w:t>
            </w:r>
            <w:r w:rsidR="00034E5F">
              <w:rPr>
                <w:b/>
                <w:sz w:val="22"/>
                <w:szCs w:val="22"/>
              </w:rPr>
              <w:t xml:space="preserve"> Committee </w:t>
            </w:r>
            <w:r w:rsidR="007E0343">
              <w:rPr>
                <w:b/>
                <w:sz w:val="22"/>
                <w:szCs w:val="22"/>
              </w:rPr>
              <w:t>or</w:t>
            </w:r>
            <w:r w:rsidR="00034E5F">
              <w:rPr>
                <w:b/>
                <w:sz w:val="22"/>
                <w:szCs w:val="22"/>
              </w:rPr>
              <w:t xml:space="preserve"> Working Group sponsoring the project</w:t>
            </w:r>
          </w:p>
          <w:p w:rsidR="001C14F2" w:rsidRPr="00310B87" w:rsidRDefault="001C14F2" w:rsidP="001C14F2">
            <w:pPr>
              <w:pStyle w:val="AIHWbodytext"/>
              <w:rPr>
                <w:rFonts w:ascii="Arial" w:hAnsi="Arial" w:cs="Arial"/>
                <w:sz w:val="24"/>
                <w:szCs w:val="24"/>
              </w:rPr>
            </w:pPr>
            <w:r w:rsidRPr="00310B87">
              <w:rPr>
                <w:rFonts w:ascii="Arial" w:hAnsi="Arial" w:cs="Arial"/>
                <w:sz w:val="24"/>
                <w:szCs w:val="24"/>
              </w:rPr>
              <w:t xml:space="preserve">Australasian Juvenile Justice Administrators (AJJA) </w:t>
            </w:r>
          </w:p>
          <w:p w:rsidR="007C00D5" w:rsidRPr="00DD58B2" w:rsidRDefault="007C00D5" w:rsidP="001C14F2">
            <w:pPr>
              <w:ind w:firstLine="284"/>
              <w:rPr>
                <w:i/>
                <w:szCs w:val="22"/>
              </w:rPr>
            </w:pPr>
          </w:p>
          <w:p w:rsidR="007C00D5" w:rsidRPr="00DD58B2" w:rsidRDefault="007C00D5" w:rsidP="00C817EB">
            <w:pPr>
              <w:ind w:firstLine="284"/>
              <w:rPr>
                <w:szCs w:val="22"/>
              </w:rPr>
            </w:pPr>
          </w:p>
        </w:tc>
      </w:tr>
      <w:tr w:rsidR="007C00D5" w:rsidRPr="00DD58B2" w:rsidTr="001C14F2">
        <w:trPr>
          <w:cantSplit/>
        </w:trPr>
        <w:tc>
          <w:tcPr>
            <w:tcW w:w="9072" w:type="dxa"/>
            <w:gridSpan w:val="2"/>
          </w:tcPr>
          <w:p w:rsidR="007C00D5" w:rsidRPr="00DD58B2" w:rsidRDefault="007C00D5" w:rsidP="008946EF">
            <w:pPr>
              <w:spacing w:before="120"/>
              <w:rPr>
                <w:b/>
                <w:szCs w:val="22"/>
              </w:rPr>
            </w:pPr>
            <w:r w:rsidRPr="00DD58B2">
              <w:rPr>
                <w:b/>
                <w:sz w:val="22"/>
                <w:szCs w:val="22"/>
              </w:rPr>
              <w:t>Sponsor'</w:t>
            </w:r>
            <w:r w:rsidR="007E0343">
              <w:rPr>
                <w:b/>
                <w:sz w:val="22"/>
                <w:szCs w:val="22"/>
              </w:rPr>
              <w:t>s contact o</w:t>
            </w:r>
            <w:r w:rsidR="00034E5F">
              <w:rPr>
                <w:b/>
                <w:sz w:val="22"/>
                <w:szCs w:val="22"/>
              </w:rPr>
              <w:t>fficer or Secretariat</w:t>
            </w:r>
          </w:p>
          <w:p w:rsidR="00034E5F" w:rsidRDefault="00034E5F" w:rsidP="00034E5F">
            <w:pPr>
              <w:rPr>
                <w:szCs w:val="22"/>
              </w:rPr>
            </w:pPr>
            <w:r>
              <w:rPr>
                <w:sz w:val="22"/>
                <w:szCs w:val="22"/>
              </w:rPr>
              <w:t>Committee responsible for the project</w:t>
            </w:r>
          </w:p>
          <w:p w:rsidR="00034E5F" w:rsidRDefault="00034E5F" w:rsidP="00034E5F">
            <w:pPr>
              <w:rPr>
                <w:szCs w:val="22"/>
              </w:rPr>
            </w:pPr>
          </w:p>
          <w:p w:rsidR="007C00D5" w:rsidRPr="00DD58B2" w:rsidRDefault="00391DCE" w:rsidP="00034E5F">
            <w:pPr>
              <w:rPr>
                <w:szCs w:val="22"/>
              </w:rPr>
            </w:pPr>
            <w:r>
              <w:rPr>
                <w:sz w:val="22"/>
                <w:szCs w:val="22"/>
              </w:rPr>
              <w:t>Name</w:t>
            </w:r>
            <w:r w:rsidR="007C00D5" w:rsidRPr="00DD58B2">
              <w:rPr>
                <w:sz w:val="22"/>
                <w:szCs w:val="22"/>
              </w:rPr>
              <w:tab/>
            </w:r>
            <w:r w:rsidR="007C00D5" w:rsidRPr="00DD58B2">
              <w:rPr>
                <w:sz w:val="22"/>
                <w:szCs w:val="22"/>
              </w:rPr>
              <w:tab/>
            </w:r>
            <w:r w:rsidR="001C14F2" w:rsidRPr="001C14F2">
              <w:rPr>
                <w:sz w:val="22"/>
                <w:szCs w:val="22"/>
              </w:rPr>
              <w:t>Alison Grace</w:t>
            </w:r>
            <w:r w:rsidR="001C14F2">
              <w:rPr>
                <w:sz w:val="22"/>
                <w:szCs w:val="22"/>
              </w:rPr>
              <w:t xml:space="preserve"> (</w:t>
            </w:r>
            <w:r w:rsidR="001C14F2" w:rsidRPr="001C14F2">
              <w:rPr>
                <w:sz w:val="22"/>
                <w:szCs w:val="22"/>
              </w:rPr>
              <w:t>Secretariat, AJJA</w:t>
            </w:r>
            <w:r w:rsidR="001C14F2">
              <w:rPr>
                <w:sz w:val="22"/>
                <w:szCs w:val="22"/>
              </w:rPr>
              <w:t>)</w:t>
            </w:r>
          </w:p>
          <w:p w:rsidR="007C00D5" w:rsidRPr="00DD58B2" w:rsidRDefault="00391DCE" w:rsidP="007E0343">
            <w:pPr>
              <w:rPr>
                <w:szCs w:val="22"/>
              </w:rPr>
            </w:pPr>
            <w:r>
              <w:rPr>
                <w:sz w:val="22"/>
                <w:szCs w:val="22"/>
              </w:rPr>
              <w:t>Telephone</w:t>
            </w:r>
            <w:r w:rsidR="007C00D5" w:rsidRPr="00DD58B2">
              <w:rPr>
                <w:sz w:val="22"/>
                <w:szCs w:val="22"/>
              </w:rPr>
              <w:tab/>
            </w:r>
            <w:r w:rsidR="001C14F2" w:rsidRPr="001C14F2">
              <w:rPr>
                <w:sz w:val="22"/>
                <w:szCs w:val="22"/>
              </w:rPr>
              <w:t>(02) 6205 9465</w:t>
            </w:r>
            <w:r w:rsidR="007C00D5" w:rsidRPr="00DD58B2">
              <w:rPr>
                <w:sz w:val="22"/>
                <w:szCs w:val="22"/>
              </w:rPr>
              <w:tab/>
            </w:r>
            <w:r w:rsidR="007C00D5" w:rsidRPr="00DD58B2">
              <w:rPr>
                <w:sz w:val="22"/>
                <w:szCs w:val="22"/>
              </w:rPr>
              <w:tab/>
            </w:r>
            <w:r w:rsidR="007C00D5" w:rsidRPr="00DD58B2">
              <w:rPr>
                <w:sz w:val="22"/>
                <w:szCs w:val="22"/>
              </w:rPr>
              <w:tab/>
            </w:r>
          </w:p>
          <w:p w:rsidR="007C00D5" w:rsidRDefault="00391DCE" w:rsidP="007E0343">
            <w:pPr>
              <w:ind w:left="34"/>
              <w:rPr>
                <w:szCs w:val="22"/>
              </w:rPr>
            </w:pPr>
            <w:r>
              <w:rPr>
                <w:sz w:val="22"/>
                <w:szCs w:val="22"/>
              </w:rPr>
              <w:t>e-mail</w:t>
            </w:r>
            <w:r w:rsidR="007C00D5" w:rsidRPr="00DD58B2">
              <w:rPr>
                <w:sz w:val="22"/>
                <w:szCs w:val="22"/>
              </w:rPr>
              <w:tab/>
            </w:r>
            <w:r w:rsidR="001C14F2">
              <w:rPr>
                <w:sz w:val="22"/>
                <w:szCs w:val="22"/>
              </w:rPr>
              <w:t xml:space="preserve"> </w:t>
            </w:r>
            <w:hyperlink r:id="rId9" w:history="1">
              <w:r w:rsidR="001C14F2" w:rsidRPr="00885BCC">
                <w:rPr>
                  <w:rStyle w:val="Hyperlink"/>
                  <w:sz w:val="22"/>
                  <w:szCs w:val="22"/>
                </w:rPr>
                <w:t>AJJASecretariat@act.gov.au</w:t>
              </w:r>
            </w:hyperlink>
            <w:r w:rsidR="001C14F2">
              <w:rPr>
                <w:sz w:val="22"/>
                <w:szCs w:val="22"/>
              </w:rPr>
              <w:t xml:space="preserve"> </w:t>
            </w:r>
          </w:p>
          <w:p w:rsidR="007C00D5" w:rsidRPr="00DD58B2" w:rsidRDefault="007C00D5" w:rsidP="001C14F2">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t>1.</w:t>
            </w:r>
          </w:p>
        </w:tc>
        <w:tc>
          <w:tcPr>
            <w:tcW w:w="8505" w:type="dxa"/>
          </w:tcPr>
          <w:p w:rsidR="007C00D5" w:rsidRPr="00391DCE" w:rsidRDefault="007E0343" w:rsidP="008946EF">
            <w:pPr>
              <w:spacing w:before="120"/>
              <w:rPr>
                <w:szCs w:val="22"/>
              </w:rPr>
            </w:pPr>
            <w:r w:rsidRPr="00391DCE">
              <w:rPr>
                <w:sz w:val="22"/>
                <w:szCs w:val="22"/>
              </w:rPr>
              <w:t>Title of p</w:t>
            </w:r>
            <w:r w:rsidR="007C00D5" w:rsidRPr="00391DCE">
              <w:rPr>
                <w:sz w:val="22"/>
                <w:szCs w:val="22"/>
              </w:rPr>
              <w:t>roject</w:t>
            </w:r>
          </w:p>
          <w:p w:rsidR="007C00D5" w:rsidRPr="00391DCE" w:rsidRDefault="007C00D5" w:rsidP="001C14F2">
            <w:pPr>
              <w:rPr>
                <w:szCs w:val="22"/>
              </w:rPr>
            </w:pPr>
          </w:p>
          <w:p w:rsidR="007C00D5" w:rsidRPr="001C14F2" w:rsidRDefault="001C14F2" w:rsidP="001C14F2">
            <w:pPr>
              <w:pStyle w:val="AIHWbodytext"/>
              <w:rPr>
                <w:rFonts w:ascii="Arial" w:hAnsi="Arial" w:cs="Arial"/>
                <w:sz w:val="24"/>
                <w:szCs w:val="24"/>
              </w:rPr>
            </w:pPr>
            <w:r w:rsidRPr="00310B87">
              <w:rPr>
                <w:rFonts w:ascii="Arial" w:hAnsi="Arial" w:cs="Arial"/>
                <w:sz w:val="24"/>
                <w:szCs w:val="24"/>
              </w:rPr>
              <w:t>Developing a linked data collection to report on the relationships between child protection and juvenile justice</w:t>
            </w:r>
          </w:p>
          <w:p w:rsidR="007C00D5" w:rsidRPr="00391DCE" w:rsidRDefault="007C00D5" w:rsidP="001C14F2">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t>2.</w:t>
            </w:r>
          </w:p>
        </w:tc>
        <w:tc>
          <w:tcPr>
            <w:tcW w:w="8505" w:type="dxa"/>
          </w:tcPr>
          <w:p w:rsidR="007C00D5" w:rsidRPr="00391DCE" w:rsidRDefault="007E0343" w:rsidP="008946EF">
            <w:pPr>
              <w:spacing w:before="120"/>
              <w:rPr>
                <w:szCs w:val="22"/>
              </w:rPr>
            </w:pPr>
            <w:r w:rsidRPr="00391DCE">
              <w:rPr>
                <w:sz w:val="22"/>
                <w:szCs w:val="22"/>
              </w:rPr>
              <w:t>Purpose of p</w:t>
            </w:r>
            <w:r w:rsidR="007C00D5" w:rsidRPr="00391DCE">
              <w:rPr>
                <w:sz w:val="22"/>
                <w:szCs w:val="22"/>
              </w:rPr>
              <w:t>roject</w:t>
            </w:r>
          </w:p>
          <w:p w:rsidR="007C00D5" w:rsidRPr="00391DCE" w:rsidRDefault="007C00D5" w:rsidP="001C14F2">
            <w:pPr>
              <w:rPr>
                <w:szCs w:val="22"/>
              </w:rPr>
            </w:pPr>
          </w:p>
          <w:p w:rsidR="00047CBF" w:rsidRPr="00391DCE" w:rsidRDefault="001C14F2" w:rsidP="00047CBF">
            <w:pPr>
              <w:rPr>
                <w:szCs w:val="22"/>
              </w:rPr>
            </w:pPr>
            <w:r w:rsidRPr="00310B87">
              <w:rPr>
                <w:rFonts w:cs="Arial"/>
                <w:szCs w:val="24"/>
              </w:rPr>
              <w:t xml:space="preserve">This </w:t>
            </w:r>
            <w:r w:rsidR="00047CBF">
              <w:rPr>
                <w:rFonts w:cs="Arial"/>
                <w:szCs w:val="24"/>
              </w:rPr>
              <w:t xml:space="preserve">bid represents the second year of a two year project. The </w:t>
            </w:r>
            <w:r w:rsidR="00047CBF" w:rsidRPr="00310B87">
              <w:rPr>
                <w:rFonts w:cs="Arial"/>
                <w:szCs w:val="24"/>
              </w:rPr>
              <w:t xml:space="preserve">project involves developing a linked data </w:t>
            </w:r>
            <w:r w:rsidR="00047CBF">
              <w:rPr>
                <w:rFonts w:cs="Arial"/>
                <w:szCs w:val="24"/>
              </w:rPr>
              <w:t>set</w:t>
            </w:r>
            <w:r w:rsidR="00047CBF" w:rsidRPr="00310B87">
              <w:rPr>
                <w:rFonts w:cs="Arial"/>
                <w:szCs w:val="24"/>
              </w:rPr>
              <w:t xml:space="preserve"> that can be used to report on the relationships between child protection and juvenile justice.</w:t>
            </w:r>
          </w:p>
          <w:p w:rsidR="00047CBF" w:rsidRDefault="00047CBF" w:rsidP="00C817EB">
            <w:pPr>
              <w:rPr>
                <w:rFonts w:cs="Arial"/>
                <w:szCs w:val="24"/>
              </w:rPr>
            </w:pPr>
          </w:p>
          <w:p w:rsidR="00047CBF" w:rsidRDefault="00047CBF" w:rsidP="00C817EB">
            <w:pPr>
              <w:rPr>
                <w:rFonts w:cs="Arial"/>
                <w:szCs w:val="24"/>
              </w:rPr>
            </w:pPr>
            <w:r>
              <w:rPr>
                <w:rFonts w:cs="Arial"/>
                <w:szCs w:val="24"/>
              </w:rPr>
              <w:t>The first year of work (2013–14) was endorsed by SCCDSAC in August 2013 and is currently underway. Successful completion of the work (in 2014–15) requires detailed consultation; testing; and reporting of results.</w:t>
            </w:r>
          </w:p>
          <w:p w:rsidR="00047CBF" w:rsidRDefault="00047CBF" w:rsidP="00C817EB">
            <w:pPr>
              <w:rPr>
                <w:rFonts w:cs="Arial"/>
                <w:szCs w:val="24"/>
              </w:rPr>
            </w:pPr>
          </w:p>
          <w:p w:rsidR="00C817EB" w:rsidRPr="00391DCE" w:rsidRDefault="00C817EB" w:rsidP="00047CBF">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t>3.</w:t>
            </w:r>
          </w:p>
        </w:tc>
        <w:tc>
          <w:tcPr>
            <w:tcW w:w="8505" w:type="dxa"/>
          </w:tcPr>
          <w:p w:rsidR="007C00D5" w:rsidRPr="00391DCE" w:rsidRDefault="007E0343" w:rsidP="008946EF">
            <w:pPr>
              <w:spacing w:before="120"/>
              <w:rPr>
                <w:szCs w:val="22"/>
              </w:rPr>
            </w:pPr>
            <w:r w:rsidRPr="00391DCE">
              <w:rPr>
                <w:sz w:val="22"/>
                <w:szCs w:val="22"/>
              </w:rPr>
              <w:t>Outcomes to be a</w:t>
            </w:r>
            <w:r w:rsidR="007C00D5" w:rsidRPr="00391DCE">
              <w:rPr>
                <w:sz w:val="22"/>
                <w:szCs w:val="22"/>
              </w:rPr>
              <w:t>chieved</w:t>
            </w:r>
          </w:p>
          <w:p w:rsidR="007C00D5" w:rsidRPr="00391DCE" w:rsidRDefault="007C00D5" w:rsidP="001C14F2">
            <w:pPr>
              <w:rPr>
                <w:szCs w:val="22"/>
              </w:rPr>
            </w:pPr>
          </w:p>
          <w:p w:rsidR="001C14F2" w:rsidRPr="00310B87" w:rsidRDefault="001C14F2" w:rsidP="001C14F2">
            <w:pPr>
              <w:pStyle w:val="AIHWbodytext"/>
              <w:rPr>
                <w:rFonts w:ascii="Arial" w:hAnsi="Arial" w:cs="Arial"/>
                <w:sz w:val="24"/>
                <w:szCs w:val="24"/>
              </w:rPr>
            </w:pPr>
            <w:r w:rsidRPr="00310B87">
              <w:rPr>
                <w:rFonts w:ascii="Arial" w:hAnsi="Arial" w:cs="Arial"/>
                <w:sz w:val="24"/>
                <w:szCs w:val="24"/>
              </w:rPr>
              <w:t xml:space="preserve">This main </w:t>
            </w:r>
            <w:r w:rsidRPr="00310B87">
              <w:rPr>
                <w:rFonts w:ascii="Arial" w:hAnsi="Arial" w:cs="Arial"/>
                <w:sz w:val="24"/>
                <w:szCs w:val="24"/>
                <w:u w:val="single"/>
              </w:rPr>
              <w:t>outcomes</w:t>
            </w:r>
            <w:r w:rsidRPr="00995150">
              <w:rPr>
                <w:rFonts w:ascii="Arial" w:hAnsi="Arial" w:cs="Arial"/>
                <w:sz w:val="24"/>
                <w:szCs w:val="24"/>
              </w:rPr>
              <w:t xml:space="preserve"> </w:t>
            </w:r>
            <w:r w:rsidRPr="00310B87">
              <w:rPr>
                <w:rFonts w:ascii="Arial" w:hAnsi="Arial" w:cs="Arial"/>
                <w:sz w:val="24"/>
                <w:szCs w:val="24"/>
              </w:rPr>
              <w:t>of this project would be:</w:t>
            </w:r>
          </w:p>
          <w:p w:rsidR="001C14F2" w:rsidRPr="00310B87" w:rsidRDefault="001C14F2" w:rsidP="001C14F2">
            <w:pPr>
              <w:pStyle w:val="Bullet1"/>
              <w:numPr>
                <w:ilvl w:val="0"/>
                <w:numId w:val="7"/>
              </w:numPr>
              <w:rPr>
                <w:rFonts w:ascii="Arial" w:hAnsi="Arial" w:cs="Arial"/>
                <w:sz w:val="24"/>
                <w:szCs w:val="24"/>
              </w:rPr>
            </w:pPr>
            <w:r w:rsidRPr="00310B87">
              <w:rPr>
                <w:rFonts w:ascii="Arial" w:hAnsi="Arial" w:cs="Arial"/>
                <w:sz w:val="24"/>
                <w:szCs w:val="24"/>
              </w:rPr>
              <w:t>the identification of key questions to be answered by an ongoing project linking child protection and juvenile justice data on an annual basis</w:t>
            </w:r>
          </w:p>
          <w:p w:rsidR="001C14F2" w:rsidRPr="00310B87" w:rsidRDefault="001C14F2" w:rsidP="001C14F2">
            <w:pPr>
              <w:pStyle w:val="Bullet1"/>
              <w:numPr>
                <w:ilvl w:val="0"/>
                <w:numId w:val="7"/>
              </w:numPr>
              <w:rPr>
                <w:rFonts w:ascii="Arial" w:hAnsi="Arial" w:cs="Arial"/>
                <w:sz w:val="24"/>
                <w:szCs w:val="24"/>
              </w:rPr>
            </w:pPr>
            <w:r w:rsidRPr="00310B87">
              <w:rPr>
                <w:rFonts w:ascii="Arial" w:hAnsi="Arial" w:cs="Arial"/>
                <w:sz w:val="24"/>
                <w:szCs w:val="24"/>
              </w:rPr>
              <w:t>a method to link these collections on an annual basis</w:t>
            </w:r>
          </w:p>
          <w:p w:rsidR="001C14F2" w:rsidRPr="00310B87" w:rsidRDefault="001C14F2" w:rsidP="001C14F2">
            <w:pPr>
              <w:pStyle w:val="Bullet1"/>
              <w:numPr>
                <w:ilvl w:val="0"/>
                <w:numId w:val="7"/>
              </w:numPr>
              <w:rPr>
                <w:rFonts w:ascii="Arial" w:hAnsi="Arial" w:cs="Arial"/>
                <w:sz w:val="24"/>
                <w:szCs w:val="24"/>
              </w:rPr>
            </w:pPr>
            <w:r w:rsidRPr="00310B87">
              <w:rPr>
                <w:rFonts w:ascii="Arial" w:hAnsi="Arial" w:cs="Arial"/>
                <w:sz w:val="24"/>
                <w:szCs w:val="24"/>
              </w:rPr>
              <w:t>the development of standard analysis to answer key questions.</w:t>
            </w:r>
          </w:p>
          <w:p w:rsidR="001C14F2" w:rsidRPr="00310B87" w:rsidRDefault="001C14F2" w:rsidP="001C14F2">
            <w:pPr>
              <w:pStyle w:val="AIHWbodytext"/>
              <w:rPr>
                <w:rFonts w:ascii="Arial" w:hAnsi="Arial" w:cs="Arial"/>
                <w:sz w:val="24"/>
                <w:szCs w:val="24"/>
              </w:rPr>
            </w:pPr>
            <w:r w:rsidRPr="00310B87">
              <w:rPr>
                <w:rFonts w:ascii="Arial" w:hAnsi="Arial" w:cs="Arial"/>
                <w:sz w:val="24"/>
                <w:szCs w:val="24"/>
              </w:rPr>
              <w:t xml:space="preserve">The main </w:t>
            </w:r>
            <w:r w:rsidRPr="00310B87">
              <w:rPr>
                <w:rFonts w:ascii="Arial" w:hAnsi="Arial" w:cs="Arial"/>
                <w:sz w:val="24"/>
                <w:szCs w:val="24"/>
                <w:u w:val="single"/>
              </w:rPr>
              <w:t>outputs</w:t>
            </w:r>
            <w:r w:rsidRPr="00310B87">
              <w:rPr>
                <w:rFonts w:ascii="Arial" w:hAnsi="Arial" w:cs="Arial"/>
                <w:sz w:val="24"/>
                <w:szCs w:val="24"/>
              </w:rPr>
              <w:t xml:space="preserve"> would be:</w:t>
            </w:r>
          </w:p>
          <w:p w:rsidR="001C14F2" w:rsidRPr="00310B87" w:rsidRDefault="001C14F2" w:rsidP="001C14F2">
            <w:pPr>
              <w:pStyle w:val="Bullet1"/>
              <w:numPr>
                <w:ilvl w:val="0"/>
                <w:numId w:val="9"/>
              </w:numPr>
              <w:rPr>
                <w:rFonts w:ascii="Arial" w:hAnsi="Arial" w:cs="Arial"/>
                <w:sz w:val="24"/>
                <w:szCs w:val="24"/>
              </w:rPr>
            </w:pPr>
            <w:r w:rsidRPr="00310B87">
              <w:rPr>
                <w:rFonts w:ascii="Arial" w:hAnsi="Arial" w:cs="Arial"/>
                <w:sz w:val="24"/>
                <w:szCs w:val="24"/>
              </w:rPr>
              <w:lastRenderedPageBreak/>
              <w:t>a report detailing the main outcomes</w:t>
            </w:r>
          </w:p>
          <w:p w:rsidR="007E0343" w:rsidRPr="001C14F2" w:rsidRDefault="001C14F2" w:rsidP="001C14F2">
            <w:pPr>
              <w:pStyle w:val="Bullet1"/>
              <w:numPr>
                <w:ilvl w:val="0"/>
                <w:numId w:val="9"/>
              </w:numPr>
            </w:pPr>
            <w:r w:rsidRPr="00310B87">
              <w:rPr>
                <w:rFonts w:ascii="Arial" w:hAnsi="Arial" w:cs="Arial"/>
                <w:sz w:val="24"/>
                <w:szCs w:val="24"/>
              </w:rPr>
              <w:t>a computer program to link the two collections on an annual basis.</w:t>
            </w:r>
          </w:p>
          <w:p w:rsidR="007C00D5" w:rsidRPr="00391DCE" w:rsidRDefault="007C00D5" w:rsidP="00C817EB">
            <w:pPr>
              <w:ind w:left="765"/>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lastRenderedPageBreak/>
              <w:t>4.</w:t>
            </w:r>
          </w:p>
        </w:tc>
        <w:tc>
          <w:tcPr>
            <w:tcW w:w="8505" w:type="dxa"/>
          </w:tcPr>
          <w:p w:rsidR="007C00D5" w:rsidRPr="00391DCE" w:rsidRDefault="007E0343" w:rsidP="008946EF">
            <w:pPr>
              <w:spacing w:before="120"/>
              <w:rPr>
                <w:szCs w:val="22"/>
              </w:rPr>
            </w:pPr>
            <w:r w:rsidRPr="00391DCE">
              <w:rPr>
                <w:sz w:val="22"/>
                <w:szCs w:val="22"/>
              </w:rPr>
              <w:t>Benefits to be derived from the project</w:t>
            </w:r>
          </w:p>
          <w:p w:rsidR="001C14F2" w:rsidRDefault="001C14F2" w:rsidP="001C14F2">
            <w:pPr>
              <w:rPr>
                <w:rFonts w:cs="Arial"/>
                <w:szCs w:val="24"/>
              </w:rPr>
            </w:pPr>
          </w:p>
          <w:p w:rsidR="007E0343" w:rsidRDefault="001C14F2" w:rsidP="001C14F2">
            <w:pPr>
              <w:rPr>
                <w:rFonts w:cs="Arial"/>
                <w:szCs w:val="24"/>
              </w:rPr>
            </w:pPr>
            <w:r w:rsidRPr="00310B87">
              <w:rPr>
                <w:rFonts w:cs="Arial"/>
                <w:szCs w:val="24"/>
              </w:rPr>
              <w:t xml:space="preserve">This linkage development work </w:t>
            </w:r>
            <w:r>
              <w:rPr>
                <w:rFonts w:cs="Arial"/>
                <w:szCs w:val="24"/>
              </w:rPr>
              <w:t>is occurring in</w:t>
            </w:r>
            <w:r w:rsidRPr="00310B87">
              <w:rPr>
                <w:rFonts w:cs="Arial"/>
                <w:szCs w:val="24"/>
              </w:rPr>
              <w:t xml:space="preserve"> </w:t>
            </w:r>
            <w:r>
              <w:rPr>
                <w:rFonts w:cs="Arial"/>
                <w:szCs w:val="24"/>
              </w:rPr>
              <w:t>parallel with the implementation of</w:t>
            </w:r>
            <w:r w:rsidRPr="00310B87">
              <w:rPr>
                <w:rFonts w:cs="Arial"/>
                <w:szCs w:val="24"/>
              </w:rPr>
              <w:t xml:space="preserve"> the CP NMDS</w:t>
            </w:r>
            <w:r>
              <w:rPr>
                <w:rFonts w:cs="Arial"/>
                <w:szCs w:val="24"/>
              </w:rPr>
              <w:t>. As such, this</w:t>
            </w:r>
            <w:r w:rsidRPr="00310B87">
              <w:rPr>
                <w:rFonts w:cs="Arial"/>
                <w:szCs w:val="24"/>
              </w:rPr>
              <w:t xml:space="preserve"> allow</w:t>
            </w:r>
            <w:r>
              <w:rPr>
                <w:rFonts w:cs="Arial"/>
                <w:szCs w:val="24"/>
              </w:rPr>
              <w:t>s</w:t>
            </w:r>
            <w:r w:rsidRPr="00310B87">
              <w:rPr>
                <w:rFonts w:cs="Arial"/>
                <w:szCs w:val="24"/>
              </w:rPr>
              <w:t xml:space="preserve"> for any additional data items required for successful data linkage to be included in the collection</w:t>
            </w:r>
            <w:r>
              <w:rPr>
                <w:rFonts w:cs="Arial"/>
                <w:szCs w:val="24"/>
              </w:rPr>
              <w:t>,</w:t>
            </w:r>
            <w:r w:rsidRPr="00310B87">
              <w:rPr>
                <w:rFonts w:cs="Arial"/>
                <w:szCs w:val="24"/>
              </w:rPr>
              <w:t xml:space="preserve"> and w</w:t>
            </w:r>
            <w:r>
              <w:rPr>
                <w:rFonts w:cs="Arial"/>
                <w:szCs w:val="24"/>
              </w:rPr>
              <w:t>ill</w:t>
            </w:r>
            <w:r w:rsidRPr="00310B87">
              <w:rPr>
                <w:rFonts w:cs="Arial"/>
                <w:szCs w:val="24"/>
              </w:rPr>
              <w:t xml:space="preserve"> enable linkage to occur from the first year of implementation.</w:t>
            </w:r>
            <w:r>
              <w:t xml:space="preserve"> </w:t>
            </w:r>
            <w:r>
              <w:rPr>
                <w:rFonts w:cs="Arial"/>
                <w:szCs w:val="24"/>
              </w:rPr>
              <w:t xml:space="preserve">  </w:t>
            </w:r>
          </w:p>
          <w:p w:rsidR="001C14F2" w:rsidRPr="00310B87" w:rsidRDefault="001C14F2" w:rsidP="001C14F2">
            <w:pPr>
              <w:pStyle w:val="AIHWbodytext"/>
              <w:rPr>
                <w:rFonts w:ascii="Arial" w:hAnsi="Arial" w:cs="Arial"/>
                <w:sz w:val="24"/>
                <w:szCs w:val="24"/>
              </w:rPr>
            </w:pPr>
            <w:r w:rsidRPr="00310B87">
              <w:rPr>
                <w:rFonts w:ascii="Arial" w:hAnsi="Arial" w:cs="Arial"/>
                <w:sz w:val="24"/>
                <w:szCs w:val="24"/>
              </w:rPr>
              <w:t>This project builds on the previous CDSMAC-funded projects to link child protection, SAAP and juvenile justice data (stage 1 and stage 2), which resulted in the following publications:</w:t>
            </w:r>
          </w:p>
          <w:p w:rsidR="001C14F2" w:rsidRPr="00310B87" w:rsidRDefault="001C14F2" w:rsidP="001C14F2">
            <w:pPr>
              <w:pStyle w:val="Bullet1"/>
              <w:tabs>
                <w:tab w:val="clear" w:pos="360"/>
                <w:tab w:val="num" w:pos="397"/>
              </w:tabs>
              <w:ind w:left="397" w:hanging="397"/>
              <w:rPr>
                <w:rFonts w:ascii="Arial" w:hAnsi="Arial" w:cs="Arial"/>
                <w:sz w:val="24"/>
                <w:szCs w:val="24"/>
              </w:rPr>
            </w:pPr>
            <w:r w:rsidRPr="00310B87">
              <w:rPr>
                <w:rFonts w:ascii="Arial" w:hAnsi="Arial" w:cs="Arial"/>
                <w:sz w:val="24"/>
                <w:szCs w:val="24"/>
              </w:rPr>
              <w:t>AIHW 2008. Linking SAAP, child protection and juvenile justice data collections: a feasibility study. Data linkage series no. 5. Cat. no. CSI 5. Canberra: AIHW.</w:t>
            </w:r>
          </w:p>
          <w:p w:rsidR="001C14F2" w:rsidRPr="00310B87" w:rsidRDefault="001C14F2" w:rsidP="001C14F2">
            <w:pPr>
              <w:pStyle w:val="Bullet1"/>
              <w:tabs>
                <w:tab w:val="clear" w:pos="360"/>
                <w:tab w:val="num" w:pos="397"/>
              </w:tabs>
              <w:ind w:left="397" w:hanging="397"/>
              <w:rPr>
                <w:rFonts w:ascii="Arial" w:hAnsi="Arial" w:cs="Arial"/>
                <w:sz w:val="24"/>
                <w:szCs w:val="24"/>
              </w:rPr>
            </w:pPr>
            <w:r w:rsidRPr="00310B87">
              <w:rPr>
                <w:rFonts w:ascii="Arial" w:hAnsi="Arial" w:cs="Arial"/>
                <w:sz w:val="24"/>
                <w:szCs w:val="24"/>
              </w:rPr>
              <w:t>AIHW 2012. Children and young people at risk of social exclusion: links between homelessness, child protection and juvenile justice data. Data linkage series no. 13. Cat. no. CSI 13. Canberra: AIHW.</w:t>
            </w:r>
          </w:p>
          <w:p w:rsidR="007E0343" w:rsidRPr="001C14F2" w:rsidRDefault="001C14F2" w:rsidP="001C14F2">
            <w:pPr>
              <w:pStyle w:val="Bullet1"/>
              <w:tabs>
                <w:tab w:val="clear" w:pos="360"/>
                <w:tab w:val="num" w:pos="397"/>
              </w:tabs>
              <w:ind w:left="397" w:hanging="397"/>
              <w:rPr>
                <w:rFonts w:ascii="Arial" w:hAnsi="Arial" w:cs="Arial"/>
                <w:sz w:val="24"/>
                <w:szCs w:val="24"/>
              </w:rPr>
            </w:pPr>
            <w:r w:rsidRPr="00310B87">
              <w:rPr>
                <w:rFonts w:ascii="Arial" w:hAnsi="Arial" w:cs="Arial"/>
                <w:sz w:val="24"/>
                <w:szCs w:val="24"/>
              </w:rPr>
              <w:t>AIHW 2012. Linking SAAP, child protection and juvenile justice data: technical report. Data linkage series no. 14. C</w:t>
            </w:r>
            <w:r>
              <w:rPr>
                <w:rFonts w:ascii="Arial" w:hAnsi="Arial" w:cs="Arial"/>
                <w:sz w:val="24"/>
                <w:szCs w:val="24"/>
              </w:rPr>
              <w:t>at. no. CSI 14. Canberra: AIHW.</w:t>
            </w:r>
          </w:p>
          <w:p w:rsidR="007C00D5" w:rsidRPr="00391DCE" w:rsidRDefault="007C00D5" w:rsidP="009D2EBF">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t>5.</w:t>
            </w:r>
          </w:p>
        </w:tc>
        <w:tc>
          <w:tcPr>
            <w:tcW w:w="8505" w:type="dxa"/>
          </w:tcPr>
          <w:p w:rsidR="007C00D5" w:rsidRPr="00391DCE" w:rsidRDefault="007E0343" w:rsidP="008946EF">
            <w:pPr>
              <w:spacing w:before="120"/>
              <w:rPr>
                <w:szCs w:val="22"/>
              </w:rPr>
            </w:pPr>
            <w:r w:rsidRPr="00391DCE">
              <w:rPr>
                <w:sz w:val="22"/>
                <w:szCs w:val="22"/>
              </w:rPr>
              <w:t>Proposed work program t</w:t>
            </w:r>
            <w:r w:rsidR="007C00D5" w:rsidRPr="00391DCE">
              <w:rPr>
                <w:sz w:val="22"/>
                <w:szCs w:val="22"/>
              </w:rPr>
              <w:t>imeframes/</w:t>
            </w:r>
            <w:r w:rsidRPr="00391DCE">
              <w:rPr>
                <w:sz w:val="22"/>
                <w:szCs w:val="22"/>
              </w:rPr>
              <w:t xml:space="preserve"> and milestones</w:t>
            </w:r>
          </w:p>
          <w:p w:rsidR="001C14F2" w:rsidRDefault="00047CBF" w:rsidP="001C14F2">
            <w:pPr>
              <w:pStyle w:val="AIHWbodytext"/>
              <w:rPr>
                <w:rFonts w:ascii="Arial" w:hAnsi="Arial" w:cs="Arial"/>
                <w:sz w:val="24"/>
                <w:szCs w:val="24"/>
              </w:rPr>
            </w:pPr>
            <w:r>
              <w:rPr>
                <w:rFonts w:ascii="Arial" w:hAnsi="Arial" w:cs="Arial"/>
                <w:sz w:val="24"/>
                <w:szCs w:val="24"/>
              </w:rPr>
              <w:t xml:space="preserve">Milestones relating to the first 12 months of this project (July 2013 to June 2014) are either completed </w:t>
            </w:r>
            <w:r w:rsidR="00FB3F70">
              <w:rPr>
                <w:rFonts w:ascii="Arial" w:hAnsi="Arial" w:cs="Arial"/>
                <w:sz w:val="24"/>
                <w:szCs w:val="24"/>
              </w:rPr>
              <w:t xml:space="preserve">or </w:t>
            </w:r>
            <w:r>
              <w:rPr>
                <w:rFonts w:ascii="Arial" w:hAnsi="Arial" w:cs="Arial"/>
                <w:sz w:val="24"/>
                <w:szCs w:val="24"/>
              </w:rPr>
              <w:t xml:space="preserve">on track for completion by 1 July 2014). </w:t>
            </w:r>
          </w:p>
          <w:p w:rsidR="001C14F2" w:rsidRDefault="001C14F2" w:rsidP="001C14F2">
            <w:pPr>
              <w:pStyle w:val="AIHWbodytext"/>
              <w:rPr>
                <w:rFonts w:ascii="Arial" w:hAnsi="Arial" w:cs="Arial"/>
                <w:sz w:val="24"/>
                <w:szCs w:val="24"/>
              </w:rPr>
            </w:pPr>
            <w:r>
              <w:rPr>
                <w:rFonts w:ascii="Arial" w:hAnsi="Arial" w:cs="Arial"/>
                <w:sz w:val="24"/>
                <w:szCs w:val="24"/>
              </w:rPr>
              <w:t>The second 12 months of this two-year project (July 2014–June 2015) would involve identifying key questions to refine the methodology further and enable it to be targeted to address relevant policy issues across the two sectors. This would result in a final, agreed methodology that could be applied annually, to enable this linkage and its output to be available on an ongoing basis.</w:t>
            </w:r>
          </w:p>
          <w:tbl>
            <w:tblPr>
              <w:tblW w:w="8560" w:type="dxa"/>
              <w:tblBorders>
                <w:top w:val="single" w:sz="4" w:space="0" w:color="000000"/>
                <w:bottom w:val="single" w:sz="4" w:space="0" w:color="000000"/>
              </w:tblBorders>
              <w:tblLayout w:type="fixed"/>
              <w:tblCellMar>
                <w:left w:w="85" w:type="dxa"/>
                <w:right w:w="85" w:type="dxa"/>
              </w:tblCellMar>
              <w:tblLook w:val="04A0"/>
            </w:tblPr>
            <w:tblGrid>
              <w:gridCol w:w="960"/>
              <w:gridCol w:w="5500"/>
              <w:gridCol w:w="2100"/>
            </w:tblGrid>
            <w:tr w:rsidR="001C14F2" w:rsidRPr="00310B87" w:rsidTr="001C14F2">
              <w:trPr>
                <w:trHeight w:val="300"/>
              </w:trPr>
              <w:tc>
                <w:tcPr>
                  <w:tcW w:w="960" w:type="dxa"/>
                  <w:tcBorders>
                    <w:top w:val="single" w:sz="4" w:space="0" w:color="000000"/>
                    <w:left w:val="nil"/>
                    <w:bottom w:val="single" w:sz="4" w:space="0" w:color="000000"/>
                    <w:right w:val="nil"/>
                    <w:tl2br w:val="nil"/>
                    <w:tr2bl w:val="nil"/>
                  </w:tcBorders>
                  <w:shd w:val="clear" w:color="auto" w:fill="auto"/>
                  <w:vAlign w:val="bottom"/>
                  <w:hideMark/>
                </w:tcPr>
                <w:p w:rsidR="001C14F2" w:rsidRPr="00310B87" w:rsidRDefault="001C14F2" w:rsidP="001C14F2">
                  <w:pPr>
                    <w:pStyle w:val="TableFigText"/>
                    <w:rPr>
                      <w:b/>
                      <w:color w:val="000000"/>
                      <w:sz w:val="22"/>
                      <w:szCs w:val="22"/>
                    </w:rPr>
                  </w:pPr>
                  <w:bookmarkStart w:id="0" w:name="RANGE!A1"/>
                  <w:r w:rsidRPr="00310B87">
                    <w:rPr>
                      <w:b/>
                      <w:color w:val="000000"/>
                      <w:sz w:val="22"/>
                      <w:szCs w:val="22"/>
                    </w:rPr>
                    <w:t>Step</w:t>
                  </w:r>
                  <w:bookmarkEnd w:id="0"/>
                </w:p>
              </w:tc>
              <w:tc>
                <w:tcPr>
                  <w:tcW w:w="5500" w:type="dxa"/>
                  <w:tcBorders>
                    <w:top w:val="single" w:sz="4" w:space="0" w:color="000000"/>
                    <w:left w:val="nil"/>
                    <w:bottom w:val="single" w:sz="4" w:space="0" w:color="000000"/>
                    <w:right w:val="nil"/>
                    <w:tl2br w:val="nil"/>
                    <w:tr2bl w:val="nil"/>
                  </w:tcBorders>
                  <w:shd w:val="clear" w:color="auto" w:fill="auto"/>
                  <w:vAlign w:val="bottom"/>
                  <w:hideMark/>
                </w:tcPr>
                <w:p w:rsidR="001C14F2" w:rsidRPr="00310B87" w:rsidRDefault="001C14F2" w:rsidP="001C14F2">
                  <w:pPr>
                    <w:pStyle w:val="TableFigText"/>
                    <w:rPr>
                      <w:b/>
                      <w:color w:val="000000"/>
                      <w:sz w:val="22"/>
                      <w:szCs w:val="22"/>
                    </w:rPr>
                  </w:pPr>
                  <w:r w:rsidRPr="00310B87">
                    <w:rPr>
                      <w:b/>
                      <w:color w:val="000000"/>
                      <w:sz w:val="22"/>
                      <w:szCs w:val="22"/>
                    </w:rPr>
                    <w:t>Activity/milestone</w:t>
                  </w:r>
                </w:p>
              </w:tc>
              <w:tc>
                <w:tcPr>
                  <w:tcW w:w="2100" w:type="dxa"/>
                  <w:tcBorders>
                    <w:top w:val="single" w:sz="4" w:space="0" w:color="000000"/>
                    <w:left w:val="nil"/>
                    <w:bottom w:val="single" w:sz="4" w:space="0" w:color="000000"/>
                    <w:right w:val="nil"/>
                    <w:tl2br w:val="nil"/>
                    <w:tr2bl w:val="nil"/>
                  </w:tcBorders>
                  <w:shd w:val="clear" w:color="auto" w:fill="auto"/>
                  <w:vAlign w:val="bottom"/>
                  <w:hideMark/>
                </w:tcPr>
                <w:p w:rsidR="001C14F2" w:rsidRPr="00310B87" w:rsidRDefault="001C14F2" w:rsidP="001C14F2">
                  <w:pPr>
                    <w:pStyle w:val="TableFigText"/>
                    <w:rPr>
                      <w:b/>
                      <w:color w:val="000000"/>
                      <w:sz w:val="22"/>
                      <w:szCs w:val="22"/>
                    </w:rPr>
                  </w:pPr>
                  <w:r w:rsidRPr="00310B87">
                    <w:rPr>
                      <w:b/>
                      <w:color w:val="000000"/>
                      <w:sz w:val="22"/>
                      <w:szCs w:val="22"/>
                    </w:rPr>
                    <w:t>Expected completion</w:t>
                  </w:r>
                </w:p>
              </w:tc>
            </w:tr>
            <w:tr w:rsidR="001C14F2" w:rsidRPr="00310B87" w:rsidTr="001C14F2">
              <w:trPr>
                <w:trHeight w:val="300"/>
              </w:trPr>
              <w:tc>
                <w:tcPr>
                  <w:tcW w:w="96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1</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Establish reference group</w:t>
                  </w:r>
                </w:p>
              </w:tc>
              <w:tc>
                <w:tcPr>
                  <w:tcW w:w="2100" w:type="dxa"/>
                  <w:shd w:val="clear" w:color="auto" w:fill="auto"/>
                  <w:vAlign w:val="bottom"/>
                  <w:hideMark/>
                </w:tcPr>
                <w:p w:rsidR="001C14F2" w:rsidRPr="00310B87" w:rsidRDefault="001C14F2" w:rsidP="001C14F2">
                  <w:pPr>
                    <w:pStyle w:val="TableFigText"/>
                    <w:rPr>
                      <w:color w:val="000000"/>
                      <w:sz w:val="22"/>
                      <w:szCs w:val="22"/>
                    </w:rPr>
                  </w:pPr>
                  <w:r>
                    <w:rPr>
                      <w:color w:val="000000"/>
                      <w:sz w:val="22"/>
                      <w:szCs w:val="22"/>
                    </w:rPr>
                    <w:t>October 20</w:t>
                  </w:r>
                  <w:r w:rsidRPr="00310B87">
                    <w:rPr>
                      <w:color w:val="000000"/>
                      <w:sz w:val="22"/>
                      <w:szCs w:val="22"/>
                    </w:rPr>
                    <w:t>13</w:t>
                  </w:r>
                  <w:r>
                    <w:rPr>
                      <w:color w:val="000000"/>
                      <w:sz w:val="22"/>
                      <w:szCs w:val="22"/>
                    </w:rPr>
                    <w:t>—completed</w:t>
                  </w:r>
                </w:p>
              </w:tc>
            </w:tr>
            <w:tr w:rsidR="001C14F2" w:rsidRPr="00310B87" w:rsidTr="001C14F2">
              <w:trPr>
                <w:trHeight w:val="355"/>
              </w:trPr>
              <w:tc>
                <w:tcPr>
                  <w:tcW w:w="960" w:type="dxa"/>
                  <w:shd w:val="clear" w:color="auto" w:fill="auto"/>
                  <w:hideMark/>
                </w:tcPr>
                <w:p w:rsidR="001C14F2" w:rsidRPr="00310B87" w:rsidRDefault="001C14F2" w:rsidP="001C14F2">
                  <w:pPr>
                    <w:pStyle w:val="TableFigText"/>
                    <w:rPr>
                      <w:color w:val="000000"/>
                      <w:sz w:val="22"/>
                      <w:szCs w:val="22"/>
                    </w:rPr>
                  </w:pPr>
                  <w:r w:rsidRPr="00310B87">
                    <w:rPr>
                      <w:color w:val="000000"/>
                      <w:sz w:val="22"/>
                      <w:szCs w:val="22"/>
                    </w:rPr>
                    <w:t>2</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Review previous linkage project and identify and pilot any additional data items required for successful linkage</w:t>
                  </w:r>
                </w:p>
              </w:tc>
              <w:tc>
                <w:tcPr>
                  <w:tcW w:w="2100" w:type="dxa"/>
                  <w:shd w:val="clear" w:color="auto" w:fill="auto"/>
                  <w:vAlign w:val="bottom"/>
                  <w:hideMark/>
                </w:tcPr>
                <w:p w:rsidR="001C14F2" w:rsidRPr="00310B87" w:rsidRDefault="001C14F2" w:rsidP="001C14F2">
                  <w:pPr>
                    <w:pStyle w:val="TableFigText"/>
                    <w:rPr>
                      <w:color w:val="000000"/>
                      <w:sz w:val="22"/>
                      <w:szCs w:val="22"/>
                    </w:rPr>
                  </w:pPr>
                  <w:r>
                    <w:rPr>
                      <w:color w:val="000000"/>
                      <w:sz w:val="22"/>
                      <w:szCs w:val="22"/>
                    </w:rPr>
                    <w:t>Early 2014—in progress</w:t>
                  </w:r>
                </w:p>
              </w:tc>
            </w:tr>
            <w:tr w:rsidR="001C14F2" w:rsidRPr="00310B87" w:rsidTr="001C14F2">
              <w:trPr>
                <w:trHeight w:val="321"/>
              </w:trPr>
              <w:tc>
                <w:tcPr>
                  <w:tcW w:w="960" w:type="dxa"/>
                  <w:shd w:val="clear" w:color="auto" w:fill="auto"/>
                  <w:hideMark/>
                </w:tcPr>
                <w:p w:rsidR="001C14F2" w:rsidRPr="00310B87" w:rsidRDefault="001C14F2" w:rsidP="001C14F2">
                  <w:pPr>
                    <w:pStyle w:val="TableFigText"/>
                    <w:rPr>
                      <w:color w:val="000000"/>
                      <w:sz w:val="22"/>
                      <w:szCs w:val="22"/>
                    </w:rPr>
                  </w:pPr>
                  <w:r w:rsidRPr="00310B87">
                    <w:rPr>
                      <w:color w:val="000000"/>
                      <w:sz w:val="22"/>
                      <w:szCs w:val="22"/>
                    </w:rPr>
                    <w:t>3</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Develop a method to link the data collections on an annual basis</w:t>
                  </w:r>
                </w:p>
              </w:tc>
              <w:tc>
                <w:tcPr>
                  <w:tcW w:w="21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Jun</w:t>
                  </w:r>
                  <w:r>
                    <w:rPr>
                      <w:color w:val="000000"/>
                      <w:sz w:val="22"/>
                      <w:szCs w:val="22"/>
                    </w:rPr>
                    <w:t>e 20</w:t>
                  </w:r>
                  <w:r w:rsidRPr="00310B87">
                    <w:rPr>
                      <w:color w:val="000000"/>
                      <w:sz w:val="22"/>
                      <w:szCs w:val="22"/>
                    </w:rPr>
                    <w:t>14</w:t>
                  </w:r>
                </w:p>
              </w:tc>
            </w:tr>
            <w:tr w:rsidR="001C14F2" w:rsidRPr="00310B87" w:rsidTr="001C14F2">
              <w:trPr>
                <w:trHeight w:val="284"/>
              </w:trPr>
              <w:tc>
                <w:tcPr>
                  <w:tcW w:w="960" w:type="dxa"/>
                  <w:shd w:val="clear" w:color="auto" w:fill="auto"/>
                  <w:hideMark/>
                </w:tcPr>
                <w:p w:rsidR="001C14F2" w:rsidRPr="00310B87" w:rsidRDefault="001C14F2" w:rsidP="001C14F2">
                  <w:pPr>
                    <w:pStyle w:val="TableFigText"/>
                    <w:rPr>
                      <w:color w:val="000000"/>
                      <w:sz w:val="22"/>
                      <w:szCs w:val="22"/>
                    </w:rPr>
                  </w:pPr>
                  <w:r w:rsidRPr="00310B87">
                    <w:rPr>
                      <w:color w:val="000000"/>
                      <w:sz w:val="22"/>
                      <w:szCs w:val="22"/>
                    </w:rPr>
                    <w:t>4</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Identify key questions to be answered by a linked data set in consultation with the reference group</w:t>
                  </w:r>
                </w:p>
              </w:tc>
              <w:tc>
                <w:tcPr>
                  <w:tcW w:w="21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Oct</w:t>
                  </w:r>
                  <w:r>
                    <w:rPr>
                      <w:color w:val="000000"/>
                      <w:sz w:val="22"/>
                      <w:szCs w:val="22"/>
                    </w:rPr>
                    <w:t>ober 20</w:t>
                  </w:r>
                  <w:r w:rsidRPr="00310B87">
                    <w:rPr>
                      <w:color w:val="000000"/>
                      <w:sz w:val="22"/>
                      <w:szCs w:val="22"/>
                    </w:rPr>
                    <w:t>14</w:t>
                  </w:r>
                </w:p>
              </w:tc>
            </w:tr>
            <w:tr w:rsidR="001C14F2" w:rsidRPr="00310B87" w:rsidTr="001C14F2">
              <w:trPr>
                <w:trHeight w:val="120"/>
              </w:trPr>
              <w:tc>
                <w:tcPr>
                  <w:tcW w:w="960" w:type="dxa"/>
                  <w:shd w:val="clear" w:color="auto" w:fill="auto"/>
                  <w:hideMark/>
                </w:tcPr>
                <w:p w:rsidR="001C14F2" w:rsidRPr="00310B87" w:rsidRDefault="001C14F2" w:rsidP="001C14F2">
                  <w:pPr>
                    <w:pStyle w:val="TableFigText"/>
                    <w:rPr>
                      <w:color w:val="000000"/>
                      <w:sz w:val="22"/>
                      <w:szCs w:val="22"/>
                    </w:rPr>
                  </w:pPr>
                  <w:r w:rsidRPr="00310B87">
                    <w:rPr>
                      <w:color w:val="000000"/>
                      <w:sz w:val="22"/>
                      <w:szCs w:val="22"/>
                    </w:rPr>
                    <w:t>5</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Develop standard analysis and reporting on the linked data set</w:t>
                  </w:r>
                </w:p>
              </w:tc>
              <w:tc>
                <w:tcPr>
                  <w:tcW w:w="21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Feb</w:t>
                  </w:r>
                  <w:r>
                    <w:rPr>
                      <w:color w:val="000000"/>
                      <w:sz w:val="22"/>
                      <w:szCs w:val="22"/>
                    </w:rPr>
                    <w:t>ruary 20</w:t>
                  </w:r>
                  <w:r w:rsidRPr="00310B87">
                    <w:rPr>
                      <w:color w:val="000000"/>
                      <w:sz w:val="22"/>
                      <w:szCs w:val="22"/>
                    </w:rPr>
                    <w:t>15</w:t>
                  </w:r>
                </w:p>
              </w:tc>
            </w:tr>
            <w:tr w:rsidR="001C14F2" w:rsidRPr="00310B87" w:rsidTr="001C14F2">
              <w:trPr>
                <w:trHeight w:val="300"/>
              </w:trPr>
              <w:tc>
                <w:tcPr>
                  <w:tcW w:w="960" w:type="dxa"/>
                  <w:shd w:val="clear" w:color="auto" w:fill="auto"/>
                  <w:hideMark/>
                </w:tcPr>
                <w:p w:rsidR="001C14F2" w:rsidRPr="00310B87" w:rsidRDefault="001C14F2" w:rsidP="001C14F2">
                  <w:pPr>
                    <w:pStyle w:val="TableFigText"/>
                    <w:rPr>
                      <w:color w:val="000000"/>
                      <w:sz w:val="22"/>
                      <w:szCs w:val="22"/>
                    </w:rPr>
                  </w:pPr>
                  <w:r w:rsidRPr="00310B87">
                    <w:rPr>
                      <w:color w:val="000000"/>
                      <w:sz w:val="22"/>
                      <w:szCs w:val="22"/>
                    </w:rPr>
                    <w:t>6</w:t>
                  </w:r>
                </w:p>
              </w:tc>
              <w:tc>
                <w:tcPr>
                  <w:tcW w:w="5500" w:type="dxa"/>
                  <w:shd w:val="clear" w:color="auto" w:fill="auto"/>
                  <w:vAlign w:val="bottom"/>
                  <w:hideMark/>
                </w:tcPr>
                <w:p w:rsidR="001C14F2" w:rsidRPr="00310B87" w:rsidRDefault="001C14F2" w:rsidP="001C14F2">
                  <w:pPr>
                    <w:pStyle w:val="TableFigText"/>
                    <w:rPr>
                      <w:color w:val="000000"/>
                      <w:sz w:val="22"/>
                      <w:szCs w:val="22"/>
                    </w:rPr>
                  </w:pPr>
                  <w:r w:rsidRPr="00310B87">
                    <w:rPr>
                      <w:color w:val="000000"/>
                      <w:sz w:val="22"/>
                      <w:szCs w:val="22"/>
                    </w:rPr>
                    <w:t xml:space="preserve">Final report to SCCDSAC </w:t>
                  </w:r>
                </w:p>
              </w:tc>
              <w:tc>
                <w:tcPr>
                  <w:tcW w:w="2100" w:type="dxa"/>
                  <w:shd w:val="clear" w:color="auto" w:fill="auto"/>
                  <w:vAlign w:val="bottom"/>
                  <w:hideMark/>
                </w:tcPr>
                <w:p w:rsidR="001C14F2" w:rsidRPr="00310B87" w:rsidRDefault="001C14F2" w:rsidP="001C14F2">
                  <w:pPr>
                    <w:pStyle w:val="TableFigText"/>
                    <w:rPr>
                      <w:color w:val="000000"/>
                      <w:sz w:val="22"/>
                      <w:szCs w:val="22"/>
                    </w:rPr>
                  </w:pPr>
                  <w:r>
                    <w:rPr>
                      <w:color w:val="000000"/>
                      <w:sz w:val="22"/>
                      <w:szCs w:val="22"/>
                    </w:rPr>
                    <w:t>June 20</w:t>
                  </w:r>
                  <w:r w:rsidRPr="00310B87">
                    <w:rPr>
                      <w:color w:val="000000"/>
                      <w:sz w:val="22"/>
                      <w:szCs w:val="22"/>
                    </w:rPr>
                    <w:t>15</w:t>
                  </w:r>
                </w:p>
              </w:tc>
            </w:tr>
          </w:tbl>
          <w:p w:rsidR="009D2EBF" w:rsidRPr="00391DCE" w:rsidRDefault="009D2EBF" w:rsidP="009D2EBF">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lastRenderedPageBreak/>
              <w:t>6.</w:t>
            </w:r>
          </w:p>
        </w:tc>
        <w:tc>
          <w:tcPr>
            <w:tcW w:w="8505" w:type="dxa"/>
          </w:tcPr>
          <w:p w:rsidR="007C00D5" w:rsidRPr="00391DCE" w:rsidRDefault="007E0343" w:rsidP="008946EF">
            <w:pPr>
              <w:spacing w:before="120"/>
              <w:rPr>
                <w:szCs w:val="22"/>
              </w:rPr>
            </w:pPr>
            <w:r w:rsidRPr="00391DCE">
              <w:rPr>
                <w:sz w:val="22"/>
                <w:szCs w:val="22"/>
              </w:rPr>
              <w:t>Outcomes from earlier years work on this p</w:t>
            </w:r>
            <w:r w:rsidR="007C00D5" w:rsidRPr="00391DCE">
              <w:rPr>
                <w:sz w:val="22"/>
                <w:szCs w:val="22"/>
              </w:rPr>
              <w:t xml:space="preserve">roject </w:t>
            </w:r>
            <w:r w:rsidR="007C00D5" w:rsidRPr="00391DCE">
              <w:rPr>
                <w:i/>
                <w:sz w:val="22"/>
                <w:szCs w:val="22"/>
              </w:rPr>
              <w:t>(if applicable)</w:t>
            </w:r>
          </w:p>
          <w:p w:rsidR="009D2EBF" w:rsidRDefault="001C14F2" w:rsidP="001C14F2">
            <w:pPr>
              <w:pStyle w:val="AIHWbodytext"/>
              <w:rPr>
                <w:rFonts w:ascii="Arial" w:hAnsi="Arial" w:cs="Arial"/>
                <w:sz w:val="24"/>
                <w:szCs w:val="24"/>
              </w:rPr>
            </w:pPr>
            <w:r w:rsidRPr="006D50BE">
              <w:rPr>
                <w:rFonts w:ascii="Arial" w:hAnsi="Arial" w:cs="Arial"/>
                <w:sz w:val="24"/>
                <w:szCs w:val="24"/>
              </w:rPr>
              <w:t>The first 12 months of work</w:t>
            </w:r>
            <w:r>
              <w:rPr>
                <w:rFonts w:ascii="Arial" w:hAnsi="Arial" w:cs="Arial"/>
                <w:sz w:val="24"/>
                <w:szCs w:val="24"/>
              </w:rPr>
              <w:t xml:space="preserve"> (July 2013–June 2014) has built on the previous stage of linkage work (between child protection, juvenile justice and specialist homelessness services data collections). It involved refining data linkage methods to produce a robust methodology enabling the ongoing linkage of the data sets on an annual basis. This included identifying additional items for collection to enable a streamlined linkage process to be designed.</w:t>
            </w:r>
          </w:p>
          <w:p w:rsidR="001C14F2" w:rsidRPr="001C14F2" w:rsidRDefault="001C14F2" w:rsidP="001C14F2">
            <w:pPr>
              <w:pStyle w:val="AIHWbodytext"/>
              <w:rPr>
                <w:rFonts w:ascii="Arial" w:hAnsi="Arial" w:cs="Arial"/>
                <w:sz w:val="24"/>
                <w:szCs w:val="24"/>
              </w:rPr>
            </w:pPr>
            <w:r>
              <w:rPr>
                <w:rFonts w:ascii="Arial" w:hAnsi="Arial" w:cs="Arial"/>
                <w:sz w:val="24"/>
                <w:szCs w:val="24"/>
              </w:rPr>
              <w:t>The project remains on track for the d</w:t>
            </w:r>
            <w:r w:rsidRPr="001C14F2">
              <w:rPr>
                <w:rFonts w:ascii="Arial" w:hAnsi="Arial" w:cs="Arial"/>
                <w:sz w:val="24"/>
                <w:szCs w:val="24"/>
              </w:rPr>
              <w:t>evelop</w:t>
            </w:r>
            <w:r>
              <w:rPr>
                <w:rFonts w:ascii="Arial" w:hAnsi="Arial" w:cs="Arial"/>
                <w:sz w:val="24"/>
                <w:szCs w:val="24"/>
              </w:rPr>
              <w:t>ment of</w:t>
            </w:r>
            <w:r w:rsidRPr="001C14F2">
              <w:rPr>
                <w:rFonts w:ascii="Arial" w:hAnsi="Arial" w:cs="Arial"/>
                <w:sz w:val="24"/>
                <w:szCs w:val="24"/>
              </w:rPr>
              <w:t xml:space="preserve"> standard analysis and reporting on the linked data set</w:t>
            </w:r>
            <w:r>
              <w:rPr>
                <w:rFonts w:ascii="Arial" w:hAnsi="Arial" w:cs="Arial"/>
                <w:sz w:val="24"/>
                <w:szCs w:val="24"/>
              </w:rPr>
              <w:t xml:space="preserve"> to be completed in early 2015, and the</w:t>
            </w:r>
            <w:r w:rsidRPr="001C14F2">
              <w:rPr>
                <w:rFonts w:ascii="Arial" w:hAnsi="Arial" w:cs="Arial"/>
                <w:sz w:val="24"/>
                <w:szCs w:val="24"/>
              </w:rPr>
              <w:t xml:space="preserve"> </w:t>
            </w:r>
            <w:r>
              <w:rPr>
                <w:rFonts w:ascii="Arial" w:hAnsi="Arial" w:cs="Arial"/>
                <w:sz w:val="24"/>
                <w:szCs w:val="24"/>
              </w:rPr>
              <w:t>delivery of a final report to SCCDSAC in mid 2015.</w:t>
            </w:r>
          </w:p>
          <w:p w:rsidR="009D2EBF" w:rsidRPr="00391DCE" w:rsidRDefault="009D2EBF" w:rsidP="009D2EBF">
            <w:pPr>
              <w:rPr>
                <w:szCs w:val="22"/>
              </w:rPr>
            </w:pPr>
          </w:p>
        </w:tc>
      </w:tr>
      <w:tr w:rsidR="007C00D5" w:rsidRPr="000D667C" w:rsidTr="001C14F2">
        <w:tblPrEx>
          <w:tblLook w:val="01E0"/>
        </w:tblPrEx>
        <w:tc>
          <w:tcPr>
            <w:tcW w:w="567" w:type="dxa"/>
          </w:tcPr>
          <w:p w:rsidR="007C00D5" w:rsidRPr="000D667C" w:rsidRDefault="007C00D5" w:rsidP="008946EF">
            <w:pPr>
              <w:spacing w:before="120"/>
              <w:rPr>
                <w:szCs w:val="22"/>
              </w:rPr>
            </w:pPr>
            <w:r w:rsidRPr="000D667C">
              <w:rPr>
                <w:sz w:val="22"/>
                <w:szCs w:val="22"/>
              </w:rPr>
              <w:t>7.</w:t>
            </w:r>
          </w:p>
        </w:tc>
        <w:tc>
          <w:tcPr>
            <w:tcW w:w="8505" w:type="dxa"/>
          </w:tcPr>
          <w:p w:rsidR="007C00D5" w:rsidRPr="00391DCE" w:rsidRDefault="007E0343" w:rsidP="008946EF">
            <w:pPr>
              <w:spacing w:before="120"/>
              <w:rPr>
                <w:szCs w:val="22"/>
              </w:rPr>
            </w:pPr>
            <w:r w:rsidRPr="00391DCE">
              <w:rPr>
                <w:sz w:val="22"/>
                <w:szCs w:val="22"/>
              </w:rPr>
              <w:t>Support for this p</w:t>
            </w:r>
            <w:r w:rsidR="007C00D5" w:rsidRPr="00391DCE">
              <w:rPr>
                <w:sz w:val="22"/>
                <w:szCs w:val="22"/>
              </w:rPr>
              <w:t xml:space="preserve">roject by </w:t>
            </w:r>
            <w:r w:rsidRPr="00391DCE">
              <w:rPr>
                <w:sz w:val="22"/>
                <w:szCs w:val="22"/>
              </w:rPr>
              <w:t>other jurisdictions or principal committees</w:t>
            </w:r>
          </w:p>
          <w:p w:rsidR="001C14F2" w:rsidRPr="000C1E8A" w:rsidRDefault="001C14F2" w:rsidP="001C14F2">
            <w:pPr>
              <w:rPr>
                <w:rFonts w:cs="Arial"/>
              </w:rPr>
            </w:pPr>
            <w:r w:rsidRPr="000C1E8A">
              <w:rPr>
                <w:rFonts w:cs="Arial"/>
              </w:rPr>
              <w:t xml:space="preserve">The proposal </w:t>
            </w:r>
            <w:r>
              <w:rPr>
                <w:rFonts w:cs="Arial"/>
              </w:rPr>
              <w:t>is supported</w:t>
            </w:r>
            <w:r w:rsidRPr="000C1E8A">
              <w:rPr>
                <w:rFonts w:cs="Arial"/>
              </w:rPr>
              <w:t xml:space="preserve"> by the </w:t>
            </w:r>
            <w:r w:rsidRPr="000D69CC">
              <w:rPr>
                <w:rFonts w:cs="Arial"/>
              </w:rPr>
              <w:t>Australasian Juvenile Justice Administrators (AJJA)</w:t>
            </w:r>
            <w:r>
              <w:rPr>
                <w:rFonts w:cs="Arial"/>
              </w:rPr>
              <w:t xml:space="preserve"> and the </w:t>
            </w:r>
            <w:r w:rsidRPr="001527B9">
              <w:rPr>
                <w:rFonts w:cs="Arial"/>
              </w:rPr>
              <w:t xml:space="preserve">Children, Youth and Community Services Policy and Research Working Group </w:t>
            </w:r>
            <w:r>
              <w:rPr>
                <w:rFonts w:cs="Arial"/>
              </w:rPr>
              <w:t>(CYCSPRWG)</w:t>
            </w:r>
            <w:r w:rsidRPr="000C1E8A">
              <w:rPr>
                <w:rFonts w:cs="Arial"/>
              </w:rPr>
              <w:t xml:space="preserve">, </w:t>
            </w:r>
            <w:r>
              <w:rPr>
                <w:rFonts w:cs="Arial"/>
              </w:rPr>
              <w:t>both</w:t>
            </w:r>
            <w:r w:rsidRPr="000C1E8A">
              <w:rPr>
                <w:rFonts w:cs="Arial"/>
              </w:rPr>
              <w:t xml:space="preserve"> subcommittee</w:t>
            </w:r>
            <w:r>
              <w:rPr>
                <w:rFonts w:cs="Arial"/>
              </w:rPr>
              <w:t>s</w:t>
            </w:r>
            <w:r w:rsidRPr="000C1E8A">
              <w:rPr>
                <w:rFonts w:cs="Arial"/>
              </w:rPr>
              <w:t xml:space="preserve"> of SCCDSAC</w:t>
            </w:r>
            <w:r>
              <w:rPr>
                <w:rFonts w:cs="Arial"/>
              </w:rPr>
              <w:t xml:space="preserve">. </w:t>
            </w:r>
          </w:p>
          <w:p w:rsidR="007C00D5" w:rsidRPr="00391DCE" w:rsidRDefault="007C00D5" w:rsidP="001C14F2">
            <w:pPr>
              <w:rPr>
                <w:szCs w:val="22"/>
              </w:rPr>
            </w:pPr>
          </w:p>
          <w:p w:rsidR="009D2EBF" w:rsidRPr="00391DCE" w:rsidRDefault="009D2EBF" w:rsidP="001C14F2">
            <w:pPr>
              <w:rPr>
                <w:szCs w:val="22"/>
              </w:rPr>
            </w:pPr>
          </w:p>
        </w:tc>
      </w:tr>
    </w:tbl>
    <w:p w:rsidR="000D0925" w:rsidRDefault="000D0925"/>
    <w:p w:rsidR="00391DCE" w:rsidRPr="007E0343" w:rsidRDefault="00BB53D5" w:rsidP="00391DCE">
      <w:pPr>
        <w:rPr>
          <w:b/>
          <w:sz w:val="28"/>
          <w:szCs w:val="28"/>
        </w:rPr>
      </w:pPr>
      <w:r>
        <w:rPr>
          <w:b/>
          <w:sz w:val="28"/>
          <w:szCs w:val="28"/>
        </w:rPr>
        <w:t>Part B</w:t>
      </w:r>
      <w:r w:rsidR="00391DCE" w:rsidRPr="007E0343">
        <w:rPr>
          <w:b/>
          <w:sz w:val="28"/>
          <w:szCs w:val="28"/>
        </w:rPr>
        <w:t xml:space="preserve"> – </w:t>
      </w:r>
      <w:r w:rsidR="0073491A">
        <w:rPr>
          <w:b/>
          <w:sz w:val="28"/>
          <w:szCs w:val="28"/>
        </w:rPr>
        <w:t>Secretariat and p</w:t>
      </w:r>
      <w:r w:rsidR="00391DCE" w:rsidRPr="007E0343">
        <w:rPr>
          <w:b/>
          <w:sz w:val="28"/>
          <w:szCs w:val="28"/>
        </w:rPr>
        <w:t>roject funding</w:t>
      </w:r>
      <w:r>
        <w:rPr>
          <w:b/>
          <w:sz w:val="28"/>
          <w:szCs w:val="28"/>
        </w:rPr>
        <w:t xml:space="preserve"> costs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402"/>
        <w:gridCol w:w="1417"/>
        <w:gridCol w:w="1560"/>
      </w:tblGrid>
      <w:tr w:rsidR="00BB53D5" w:rsidRPr="0058340A" w:rsidTr="00BB53D5">
        <w:trPr>
          <w:cantSplit/>
        </w:trPr>
        <w:tc>
          <w:tcPr>
            <w:tcW w:w="2552" w:type="dxa"/>
          </w:tcPr>
          <w:p w:rsidR="00BB53D5" w:rsidRPr="0058340A" w:rsidRDefault="00BB53D5" w:rsidP="0058340A">
            <w:pPr>
              <w:rPr>
                <w:szCs w:val="22"/>
              </w:rPr>
            </w:pPr>
          </w:p>
        </w:tc>
        <w:tc>
          <w:tcPr>
            <w:tcW w:w="3402" w:type="dxa"/>
          </w:tcPr>
          <w:p w:rsidR="00BB53D5" w:rsidRPr="0058340A" w:rsidRDefault="00BB53D5" w:rsidP="0058340A">
            <w:pPr>
              <w:spacing w:before="240" w:after="240"/>
              <w:jc w:val="center"/>
              <w:rPr>
                <w:b/>
                <w:szCs w:val="22"/>
              </w:rPr>
            </w:pPr>
            <w:r w:rsidRPr="0058340A">
              <w:rPr>
                <w:b/>
                <w:sz w:val="22"/>
                <w:szCs w:val="22"/>
              </w:rPr>
              <w:t>Description</w:t>
            </w:r>
          </w:p>
        </w:tc>
        <w:tc>
          <w:tcPr>
            <w:tcW w:w="1417" w:type="dxa"/>
            <w:shd w:val="clear" w:color="auto" w:fill="auto"/>
          </w:tcPr>
          <w:p w:rsidR="00BB53D5" w:rsidRPr="0058340A" w:rsidRDefault="00BB53D5" w:rsidP="0058340A">
            <w:pPr>
              <w:spacing w:before="120"/>
              <w:jc w:val="center"/>
              <w:rPr>
                <w:szCs w:val="22"/>
              </w:rPr>
            </w:pPr>
            <w:r w:rsidRPr="0058340A">
              <w:rPr>
                <w:sz w:val="22"/>
                <w:szCs w:val="22"/>
              </w:rPr>
              <w:t>2014–15</w:t>
            </w:r>
          </w:p>
          <w:p w:rsidR="00BB53D5" w:rsidRPr="0058340A" w:rsidRDefault="00BB53D5" w:rsidP="0058340A">
            <w:pPr>
              <w:jc w:val="center"/>
              <w:rPr>
                <w:szCs w:val="22"/>
              </w:rPr>
            </w:pPr>
            <w:r w:rsidRPr="0058340A">
              <w:rPr>
                <w:sz w:val="22"/>
                <w:szCs w:val="22"/>
              </w:rPr>
              <w:t>$</w:t>
            </w:r>
          </w:p>
        </w:tc>
        <w:tc>
          <w:tcPr>
            <w:tcW w:w="1560" w:type="dxa"/>
          </w:tcPr>
          <w:p w:rsidR="00BB53D5" w:rsidRPr="0058340A" w:rsidRDefault="00BB53D5" w:rsidP="0058340A">
            <w:pPr>
              <w:spacing w:before="120"/>
              <w:jc w:val="center"/>
              <w:rPr>
                <w:szCs w:val="22"/>
              </w:rPr>
            </w:pPr>
            <w:r w:rsidRPr="0058340A">
              <w:rPr>
                <w:sz w:val="22"/>
                <w:szCs w:val="22"/>
              </w:rPr>
              <w:t>2015–16</w:t>
            </w:r>
          </w:p>
          <w:p w:rsidR="00BB53D5" w:rsidRPr="0058340A" w:rsidRDefault="00BB53D5" w:rsidP="0058340A">
            <w:pPr>
              <w:jc w:val="center"/>
              <w:rPr>
                <w:szCs w:val="22"/>
              </w:rPr>
            </w:pPr>
            <w:r w:rsidRPr="0058340A">
              <w:rPr>
                <w:sz w:val="22"/>
                <w:szCs w:val="22"/>
              </w:rPr>
              <w:t>$</w:t>
            </w:r>
          </w:p>
          <w:p w:rsidR="00BB53D5" w:rsidRPr="0058340A"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rPr>
                <w:szCs w:val="22"/>
              </w:rPr>
            </w:pPr>
          </w:p>
          <w:p w:rsidR="00BB53D5" w:rsidRPr="0058340A" w:rsidRDefault="00BB53D5" w:rsidP="0058340A">
            <w:pPr>
              <w:ind w:left="34" w:hanging="34"/>
              <w:rPr>
                <w:szCs w:val="22"/>
              </w:rPr>
            </w:pPr>
            <w:r w:rsidRPr="0058340A">
              <w:rPr>
                <w:sz w:val="22"/>
                <w:szCs w:val="22"/>
              </w:rPr>
              <w:t>Secretariat for a sub-committee or Working Group</w:t>
            </w:r>
          </w:p>
          <w:p w:rsidR="00BB53D5" w:rsidRPr="0058340A" w:rsidRDefault="00BB53D5" w:rsidP="0058340A">
            <w:pPr>
              <w:rPr>
                <w:i/>
                <w:szCs w:val="22"/>
              </w:rPr>
            </w:pPr>
            <w:r w:rsidRPr="0058340A">
              <w:rPr>
                <w:i/>
                <w:sz w:val="22"/>
                <w:szCs w:val="22"/>
              </w:rPr>
              <w:t>(FTE calculation)</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58340A">
            <w:pPr>
              <w:spacing w:before="120" w:after="120"/>
              <w:rPr>
                <w:szCs w:val="22"/>
              </w:rPr>
            </w:pPr>
            <w:r w:rsidRPr="0058340A">
              <w:rPr>
                <w:sz w:val="22"/>
                <w:szCs w:val="22"/>
              </w:rPr>
              <w:t>Administrative costs</w:t>
            </w:r>
          </w:p>
          <w:p w:rsidR="00BB53D5" w:rsidRPr="0058340A" w:rsidRDefault="00BB53D5" w:rsidP="0058340A">
            <w:pPr>
              <w:rPr>
                <w:szCs w:val="22"/>
              </w:rPr>
            </w:pP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B25599">
            <w:pPr>
              <w:spacing w:before="120" w:after="120"/>
              <w:rPr>
                <w:szCs w:val="22"/>
              </w:rPr>
            </w:pPr>
            <w:r w:rsidRPr="0058340A">
              <w:rPr>
                <w:sz w:val="22"/>
                <w:szCs w:val="22"/>
              </w:rPr>
              <w:t>Travel</w:t>
            </w: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58340A" w:rsidRDefault="00BB53D5" w:rsidP="00B25599">
            <w:pPr>
              <w:spacing w:before="120" w:after="120"/>
              <w:rPr>
                <w:szCs w:val="22"/>
              </w:rPr>
            </w:pPr>
            <w:r w:rsidRPr="0058340A">
              <w:rPr>
                <w:sz w:val="22"/>
                <w:szCs w:val="22"/>
              </w:rPr>
              <w:t>Meetings</w:t>
            </w: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rPr>
          <w:cantSplit/>
        </w:trPr>
        <w:tc>
          <w:tcPr>
            <w:tcW w:w="2552" w:type="dxa"/>
            <w:vAlign w:val="center"/>
          </w:tcPr>
          <w:p w:rsidR="00BB53D5" w:rsidRPr="0073491A" w:rsidRDefault="00BB53D5" w:rsidP="0058340A">
            <w:pPr>
              <w:spacing w:before="120" w:after="120"/>
              <w:rPr>
                <w:b/>
                <w:szCs w:val="22"/>
              </w:rPr>
            </w:pPr>
            <w:r w:rsidRPr="0073491A">
              <w:rPr>
                <w:b/>
                <w:sz w:val="22"/>
                <w:szCs w:val="22"/>
              </w:rPr>
              <w:t>Total secretariat costs</w:t>
            </w:r>
          </w:p>
        </w:tc>
        <w:tc>
          <w:tcPr>
            <w:tcW w:w="3402" w:type="dxa"/>
          </w:tcPr>
          <w:p w:rsidR="00BB53D5" w:rsidRPr="0058340A" w:rsidRDefault="00BB53D5" w:rsidP="0058340A">
            <w:pPr>
              <w:jc w:val="center"/>
              <w:rPr>
                <w:szCs w:val="22"/>
              </w:rPr>
            </w:pPr>
          </w:p>
        </w:tc>
        <w:tc>
          <w:tcPr>
            <w:tcW w:w="1417" w:type="dxa"/>
            <w:shd w:val="clear" w:color="auto" w:fill="auto"/>
          </w:tcPr>
          <w:p w:rsidR="00BB53D5" w:rsidRPr="00BB53D5" w:rsidRDefault="00BB53D5" w:rsidP="0058340A">
            <w:pPr>
              <w:jc w:val="center"/>
              <w:rPr>
                <w:szCs w:val="22"/>
              </w:rPr>
            </w:pPr>
          </w:p>
        </w:tc>
        <w:tc>
          <w:tcPr>
            <w:tcW w:w="1560" w:type="dxa"/>
            <w:shd w:val="clear" w:color="auto" w:fill="auto"/>
          </w:tcPr>
          <w:p w:rsidR="00BB53D5" w:rsidRPr="00BB53D5" w:rsidRDefault="00BB53D5" w:rsidP="0058340A">
            <w:pPr>
              <w:jc w:val="center"/>
              <w:rPr>
                <w:szCs w:val="22"/>
              </w:rPr>
            </w:pPr>
          </w:p>
        </w:tc>
      </w:tr>
      <w:tr w:rsidR="00BB53D5" w:rsidRPr="0058340A" w:rsidTr="00BB53D5">
        <w:tc>
          <w:tcPr>
            <w:tcW w:w="2552" w:type="dxa"/>
            <w:vAlign w:val="bottom"/>
          </w:tcPr>
          <w:p w:rsidR="00BB53D5" w:rsidRPr="0058340A" w:rsidRDefault="00BB53D5" w:rsidP="0058340A">
            <w:pPr>
              <w:rPr>
                <w:szCs w:val="22"/>
              </w:rPr>
            </w:pPr>
          </w:p>
          <w:p w:rsidR="00BB53D5" w:rsidRPr="0058340A" w:rsidRDefault="00BB53D5" w:rsidP="0058340A">
            <w:pPr>
              <w:rPr>
                <w:szCs w:val="22"/>
              </w:rPr>
            </w:pPr>
          </w:p>
          <w:p w:rsidR="00BB53D5" w:rsidRPr="0058340A" w:rsidRDefault="00BB53D5" w:rsidP="0058340A">
            <w:pPr>
              <w:rPr>
                <w:szCs w:val="22"/>
              </w:rPr>
            </w:pPr>
            <w:r w:rsidRPr="0058340A">
              <w:rPr>
                <w:sz w:val="22"/>
                <w:szCs w:val="22"/>
              </w:rPr>
              <w:t>Work program</w:t>
            </w:r>
          </w:p>
          <w:p w:rsidR="00BB53D5" w:rsidRPr="0058340A" w:rsidRDefault="00BB53D5" w:rsidP="0058340A">
            <w:pPr>
              <w:rPr>
                <w:szCs w:val="22"/>
              </w:rPr>
            </w:pPr>
          </w:p>
        </w:tc>
        <w:tc>
          <w:tcPr>
            <w:tcW w:w="3402" w:type="dxa"/>
          </w:tcPr>
          <w:p w:rsidR="00BB53D5" w:rsidRPr="0058340A" w:rsidRDefault="00BB53D5" w:rsidP="0058340A">
            <w:pPr>
              <w:rPr>
                <w:szCs w:val="22"/>
              </w:rPr>
            </w:pPr>
          </w:p>
        </w:tc>
        <w:tc>
          <w:tcPr>
            <w:tcW w:w="1417" w:type="dxa"/>
            <w:shd w:val="clear" w:color="auto" w:fill="auto"/>
          </w:tcPr>
          <w:p w:rsidR="00BB53D5" w:rsidRPr="0058340A" w:rsidRDefault="001C14F2" w:rsidP="0058340A">
            <w:pPr>
              <w:rPr>
                <w:szCs w:val="22"/>
              </w:rPr>
            </w:pPr>
            <w:r w:rsidRPr="0058340A">
              <w:rPr>
                <w:sz w:val="22"/>
                <w:szCs w:val="22"/>
              </w:rPr>
              <w:t>$</w:t>
            </w:r>
            <w:r>
              <w:rPr>
                <w:sz w:val="22"/>
                <w:szCs w:val="22"/>
              </w:rPr>
              <w:t>83,700</w:t>
            </w:r>
          </w:p>
        </w:tc>
        <w:tc>
          <w:tcPr>
            <w:tcW w:w="1560" w:type="dxa"/>
          </w:tcPr>
          <w:p w:rsidR="00BB53D5" w:rsidRPr="0058340A" w:rsidRDefault="00BB53D5" w:rsidP="0058340A">
            <w:pPr>
              <w:rPr>
                <w:szCs w:val="22"/>
              </w:rPr>
            </w:pPr>
          </w:p>
        </w:tc>
      </w:tr>
      <w:tr w:rsidR="00BB53D5" w:rsidRPr="0058340A" w:rsidTr="00BB53D5">
        <w:tc>
          <w:tcPr>
            <w:tcW w:w="2552" w:type="dxa"/>
            <w:vAlign w:val="center"/>
          </w:tcPr>
          <w:p w:rsidR="00BB53D5" w:rsidRPr="0073491A" w:rsidRDefault="00BB53D5" w:rsidP="0058340A">
            <w:pPr>
              <w:ind w:left="426" w:hanging="426"/>
              <w:jc w:val="right"/>
              <w:rPr>
                <w:b/>
                <w:szCs w:val="22"/>
              </w:rPr>
            </w:pPr>
            <w:r w:rsidRPr="0073491A">
              <w:rPr>
                <w:b/>
                <w:sz w:val="22"/>
                <w:szCs w:val="22"/>
              </w:rPr>
              <w:t>Total project costs</w:t>
            </w:r>
          </w:p>
          <w:p w:rsidR="00BB53D5" w:rsidRPr="0058340A" w:rsidRDefault="00BB53D5" w:rsidP="0058340A">
            <w:pPr>
              <w:ind w:left="426" w:hanging="426"/>
              <w:rPr>
                <w:szCs w:val="22"/>
              </w:rPr>
            </w:pPr>
          </w:p>
        </w:tc>
        <w:tc>
          <w:tcPr>
            <w:tcW w:w="3402" w:type="dxa"/>
          </w:tcPr>
          <w:p w:rsidR="00BB53D5" w:rsidRPr="0058340A" w:rsidRDefault="00BB53D5" w:rsidP="0058340A">
            <w:pPr>
              <w:rPr>
                <w:szCs w:val="22"/>
              </w:rPr>
            </w:pPr>
          </w:p>
        </w:tc>
        <w:tc>
          <w:tcPr>
            <w:tcW w:w="1417" w:type="dxa"/>
            <w:shd w:val="clear" w:color="auto" w:fill="auto"/>
            <w:vAlign w:val="center"/>
          </w:tcPr>
          <w:p w:rsidR="00BB53D5" w:rsidRPr="0058340A" w:rsidRDefault="00BB53D5" w:rsidP="0058340A">
            <w:pPr>
              <w:rPr>
                <w:szCs w:val="22"/>
              </w:rPr>
            </w:pPr>
            <w:r w:rsidRPr="0058340A">
              <w:rPr>
                <w:sz w:val="22"/>
                <w:szCs w:val="22"/>
              </w:rPr>
              <w:t>$</w:t>
            </w:r>
            <w:r w:rsidR="001C14F2">
              <w:rPr>
                <w:sz w:val="22"/>
                <w:szCs w:val="22"/>
              </w:rPr>
              <w:t>83,700</w:t>
            </w:r>
          </w:p>
        </w:tc>
        <w:tc>
          <w:tcPr>
            <w:tcW w:w="1560" w:type="dxa"/>
            <w:vAlign w:val="center"/>
          </w:tcPr>
          <w:p w:rsidR="00BB53D5" w:rsidRPr="0058340A" w:rsidRDefault="00BB53D5" w:rsidP="0058340A">
            <w:pPr>
              <w:rPr>
                <w:szCs w:val="22"/>
              </w:rPr>
            </w:pPr>
            <w:r w:rsidRPr="0058340A">
              <w:rPr>
                <w:sz w:val="22"/>
                <w:szCs w:val="22"/>
              </w:rPr>
              <w:t>$</w:t>
            </w:r>
          </w:p>
        </w:tc>
      </w:tr>
      <w:tr w:rsidR="00BB53D5" w:rsidRPr="0058340A" w:rsidTr="00BB53D5">
        <w:tc>
          <w:tcPr>
            <w:tcW w:w="2552" w:type="dxa"/>
          </w:tcPr>
          <w:p w:rsidR="00BB53D5" w:rsidRPr="0058340A" w:rsidRDefault="00BB53D5" w:rsidP="0058340A">
            <w:pPr>
              <w:spacing w:before="120"/>
              <w:rPr>
                <w:szCs w:val="22"/>
              </w:rPr>
            </w:pPr>
            <w:r w:rsidRPr="0058340A">
              <w:rPr>
                <w:sz w:val="22"/>
                <w:szCs w:val="22"/>
              </w:rPr>
              <w:t>Resources provided by sponsoring jurisdiction if relevant.</w:t>
            </w:r>
          </w:p>
          <w:p w:rsidR="00BB53D5" w:rsidRPr="0058340A" w:rsidRDefault="00BB53D5" w:rsidP="0058340A">
            <w:pPr>
              <w:rPr>
                <w:i/>
                <w:szCs w:val="22"/>
              </w:rPr>
            </w:pPr>
            <w:r w:rsidRPr="0058340A">
              <w:rPr>
                <w:i/>
                <w:sz w:val="22"/>
                <w:szCs w:val="22"/>
              </w:rPr>
              <w:t>(e.g. secretariat/ administrative support)</w:t>
            </w:r>
          </w:p>
          <w:p w:rsidR="00BB53D5" w:rsidRPr="0058340A" w:rsidRDefault="00BB53D5" w:rsidP="0058340A">
            <w:pPr>
              <w:ind w:left="426" w:hanging="426"/>
              <w:rPr>
                <w:szCs w:val="22"/>
              </w:rPr>
            </w:pPr>
          </w:p>
        </w:tc>
        <w:tc>
          <w:tcPr>
            <w:tcW w:w="3402" w:type="dxa"/>
          </w:tcPr>
          <w:p w:rsidR="00BB53D5" w:rsidRPr="0058340A" w:rsidRDefault="00BB53D5" w:rsidP="0058340A">
            <w:pPr>
              <w:rPr>
                <w:szCs w:val="22"/>
              </w:rPr>
            </w:pPr>
          </w:p>
        </w:tc>
        <w:tc>
          <w:tcPr>
            <w:tcW w:w="1417" w:type="dxa"/>
            <w:shd w:val="clear" w:color="auto" w:fill="auto"/>
          </w:tcPr>
          <w:p w:rsidR="00BB53D5" w:rsidRPr="0058340A" w:rsidRDefault="00BB53D5" w:rsidP="0058340A">
            <w:pPr>
              <w:rPr>
                <w:szCs w:val="22"/>
              </w:rPr>
            </w:pPr>
          </w:p>
        </w:tc>
        <w:tc>
          <w:tcPr>
            <w:tcW w:w="1560" w:type="dxa"/>
          </w:tcPr>
          <w:p w:rsidR="00BB53D5" w:rsidRPr="0058340A" w:rsidRDefault="00BB53D5" w:rsidP="0058340A">
            <w:pPr>
              <w:rPr>
                <w:szCs w:val="22"/>
              </w:rPr>
            </w:pPr>
          </w:p>
        </w:tc>
      </w:tr>
    </w:tbl>
    <w:p w:rsidR="005E2325" w:rsidRPr="0058340A" w:rsidRDefault="005E2325" w:rsidP="0058340A">
      <w:pPr>
        <w:spacing w:after="200" w:line="276" w:lineRule="auto"/>
        <w:rPr>
          <w:sz w:val="22"/>
          <w:szCs w:val="22"/>
        </w:rPr>
      </w:pPr>
      <w:bookmarkStart w:id="1" w:name="_GoBack"/>
      <w:bookmarkEnd w:id="1"/>
    </w:p>
    <w:sectPr w:rsidR="005E2325" w:rsidRPr="0058340A" w:rsidSect="00E13CAD">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F2" w:rsidRDefault="001C14F2" w:rsidP="0073491A">
      <w:r>
        <w:separator/>
      </w:r>
    </w:p>
  </w:endnote>
  <w:endnote w:type="continuationSeparator" w:id="0">
    <w:p w:rsidR="001C14F2" w:rsidRDefault="001C14F2" w:rsidP="007349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717748"/>
      <w:docPartObj>
        <w:docPartGallery w:val="Page Numbers (Bottom of Page)"/>
        <w:docPartUnique/>
      </w:docPartObj>
    </w:sdtPr>
    <w:sdtEndPr>
      <w:rPr>
        <w:noProof/>
      </w:rPr>
    </w:sdtEndPr>
    <w:sdtContent>
      <w:p w:rsidR="001C14F2" w:rsidRDefault="00E13CAD">
        <w:pPr>
          <w:pStyle w:val="Footer"/>
          <w:jc w:val="center"/>
        </w:pPr>
        <w:r>
          <w:fldChar w:fldCharType="begin"/>
        </w:r>
        <w:r w:rsidR="001C14F2">
          <w:instrText xml:space="preserve"> PAGE   \* MERGEFORMAT </w:instrText>
        </w:r>
        <w:r>
          <w:fldChar w:fldCharType="separate"/>
        </w:r>
        <w:r w:rsidR="00FB3F70">
          <w:rPr>
            <w:noProof/>
          </w:rPr>
          <w:t>3</w:t>
        </w:r>
        <w:r>
          <w:rPr>
            <w:noProof/>
          </w:rPr>
          <w:fldChar w:fldCharType="end"/>
        </w:r>
      </w:p>
    </w:sdtContent>
  </w:sdt>
  <w:p w:rsidR="001C14F2" w:rsidRDefault="001C1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F2" w:rsidRDefault="001C14F2" w:rsidP="0073491A">
      <w:r>
        <w:separator/>
      </w:r>
    </w:p>
  </w:footnote>
  <w:footnote w:type="continuationSeparator" w:id="0">
    <w:p w:rsidR="001C14F2" w:rsidRDefault="001C14F2" w:rsidP="00734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25E8"/>
    <w:multiLevelType w:val="hybridMultilevel"/>
    <w:tmpl w:val="EFE6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EE3E28"/>
    <w:multiLevelType w:val="hybridMultilevel"/>
    <w:tmpl w:val="AB382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E57209F"/>
    <w:multiLevelType w:val="hybridMultilevel"/>
    <w:tmpl w:val="D69239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311D66B1"/>
    <w:multiLevelType w:val="hybridMultilevel"/>
    <w:tmpl w:val="A9EE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962CF9"/>
    <w:multiLevelType w:val="hybridMultilevel"/>
    <w:tmpl w:val="1A70B288"/>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34D31B3"/>
    <w:multiLevelType w:val="hybridMultilevel"/>
    <w:tmpl w:val="A3B85AF2"/>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0B452A8"/>
    <w:multiLevelType w:val="hybridMultilevel"/>
    <w:tmpl w:val="9C4CB1DC"/>
    <w:lvl w:ilvl="0" w:tplc="6136CCB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CEF1FF9"/>
    <w:multiLevelType w:val="hybridMultilevel"/>
    <w:tmpl w:val="B3287B90"/>
    <w:lvl w:ilvl="0" w:tplc="B8F4EC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4"/>
  </w:num>
  <w:num w:numId="6">
    <w:abstractNumId w:val="3"/>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00D5"/>
    <w:rsid w:val="00034E5F"/>
    <w:rsid w:val="00047CBF"/>
    <w:rsid w:val="000D0925"/>
    <w:rsid w:val="000E5287"/>
    <w:rsid w:val="001C14F2"/>
    <w:rsid w:val="00207BA9"/>
    <w:rsid w:val="002831AC"/>
    <w:rsid w:val="00290A34"/>
    <w:rsid w:val="00307AAF"/>
    <w:rsid w:val="00381846"/>
    <w:rsid w:val="00391DCE"/>
    <w:rsid w:val="004672D1"/>
    <w:rsid w:val="0058340A"/>
    <w:rsid w:val="00594B30"/>
    <w:rsid w:val="005E2325"/>
    <w:rsid w:val="005F5A0D"/>
    <w:rsid w:val="00690E21"/>
    <w:rsid w:val="0073491A"/>
    <w:rsid w:val="007C00D5"/>
    <w:rsid w:val="007E0343"/>
    <w:rsid w:val="00834468"/>
    <w:rsid w:val="008946EF"/>
    <w:rsid w:val="0090446C"/>
    <w:rsid w:val="00995150"/>
    <w:rsid w:val="009D2EBF"/>
    <w:rsid w:val="00A51FBC"/>
    <w:rsid w:val="00AB042C"/>
    <w:rsid w:val="00B25599"/>
    <w:rsid w:val="00BB1472"/>
    <w:rsid w:val="00BB53D5"/>
    <w:rsid w:val="00C817EB"/>
    <w:rsid w:val="00D44915"/>
    <w:rsid w:val="00E13CAD"/>
    <w:rsid w:val="00EB2BE7"/>
    <w:rsid w:val="00EF62F8"/>
    <w:rsid w:val="00F94658"/>
    <w:rsid w:val="00FB3F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5"/>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00D5"/>
    <w:rPr>
      <w:color w:val="0000FF"/>
      <w:u w:val="single"/>
    </w:rPr>
  </w:style>
  <w:style w:type="paragraph" w:styleId="BalloonText">
    <w:name w:val="Balloon Text"/>
    <w:basedOn w:val="Normal"/>
    <w:link w:val="BalloonTextChar"/>
    <w:uiPriority w:val="99"/>
    <w:semiHidden/>
    <w:unhideWhenUsed/>
    <w:rsid w:val="00290A34"/>
    <w:rPr>
      <w:rFonts w:ascii="Tahoma" w:hAnsi="Tahoma" w:cs="Tahoma"/>
      <w:sz w:val="16"/>
      <w:szCs w:val="16"/>
    </w:rPr>
  </w:style>
  <w:style w:type="character" w:customStyle="1" w:styleId="BalloonTextChar">
    <w:name w:val="Balloon Text Char"/>
    <w:basedOn w:val="DefaultParagraphFont"/>
    <w:link w:val="BalloonText"/>
    <w:uiPriority w:val="99"/>
    <w:semiHidden/>
    <w:rsid w:val="00290A34"/>
    <w:rPr>
      <w:rFonts w:ascii="Tahoma" w:eastAsia="Times New Roman" w:hAnsi="Tahoma" w:cs="Tahoma"/>
      <w:sz w:val="16"/>
      <w:szCs w:val="16"/>
      <w:lang w:eastAsia="en-AU"/>
    </w:rPr>
  </w:style>
  <w:style w:type="paragraph" w:styleId="Header">
    <w:name w:val="header"/>
    <w:basedOn w:val="Normal"/>
    <w:link w:val="HeaderChar"/>
    <w:uiPriority w:val="99"/>
    <w:unhideWhenUsed/>
    <w:rsid w:val="0073491A"/>
    <w:pPr>
      <w:tabs>
        <w:tab w:val="center" w:pos="4513"/>
        <w:tab w:val="right" w:pos="9026"/>
      </w:tabs>
    </w:pPr>
  </w:style>
  <w:style w:type="character" w:customStyle="1" w:styleId="HeaderChar">
    <w:name w:val="Header Char"/>
    <w:basedOn w:val="DefaultParagraphFont"/>
    <w:link w:val="Header"/>
    <w:uiPriority w:val="99"/>
    <w:rsid w:val="0073491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73491A"/>
    <w:pPr>
      <w:tabs>
        <w:tab w:val="center" w:pos="4513"/>
        <w:tab w:val="right" w:pos="9026"/>
      </w:tabs>
    </w:pPr>
  </w:style>
  <w:style w:type="character" w:customStyle="1" w:styleId="FooterChar">
    <w:name w:val="Footer Char"/>
    <w:basedOn w:val="DefaultParagraphFont"/>
    <w:link w:val="Footer"/>
    <w:uiPriority w:val="99"/>
    <w:rsid w:val="0073491A"/>
    <w:rPr>
      <w:rFonts w:ascii="Arial" w:eastAsia="Times New Roman" w:hAnsi="Arial" w:cs="Times New Roman"/>
      <w:sz w:val="24"/>
      <w:szCs w:val="20"/>
      <w:lang w:eastAsia="en-AU"/>
    </w:rPr>
  </w:style>
  <w:style w:type="paragraph" w:customStyle="1" w:styleId="AIHWbodytext">
    <w:name w:val="AIHW body text"/>
    <w:basedOn w:val="Normal"/>
    <w:link w:val="AIHWbodytextChar"/>
    <w:qFormat/>
    <w:rsid w:val="001C14F2"/>
    <w:pPr>
      <w:spacing w:before="60" w:after="120" w:line="260" w:lineRule="atLeast"/>
    </w:pPr>
    <w:rPr>
      <w:rFonts w:ascii="Book Antiqua" w:hAnsi="Book Antiqua"/>
      <w:sz w:val="22"/>
      <w:lang w:eastAsia="en-US"/>
    </w:rPr>
  </w:style>
  <w:style w:type="character" w:customStyle="1" w:styleId="AIHWbodytextChar">
    <w:name w:val="AIHW body text Char"/>
    <w:link w:val="AIHWbodytext"/>
    <w:locked/>
    <w:rsid w:val="001C14F2"/>
    <w:rPr>
      <w:rFonts w:ascii="Book Antiqua" w:eastAsia="Times New Roman" w:hAnsi="Book Antiqua" w:cs="Times New Roman"/>
      <w:szCs w:val="20"/>
    </w:rPr>
  </w:style>
  <w:style w:type="paragraph" w:customStyle="1" w:styleId="Bullet1">
    <w:name w:val="Bullet 1"/>
    <w:basedOn w:val="AIHWbodytext"/>
    <w:uiPriority w:val="2"/>
    <w:qFormat/>
    <w:rsid w:val="001C14F2"/>
    <w:pPr>
      <w:numPr>
        <w:numId w:val="8"/>
      </w:numPr>
      <w:tabs>
        <w:tab w:val="clear" w:pos="397"/>
        <w:tab w:val="num" w:pos="360"/>
      </w:tabs>
      <w:spacing w:before="40" w:after="80"/>
      <w:ind w:left="0" w:firstLine="0"/>
    </w:pPr>
  </w:style>
  <w:style w:type="paragraph" w:customStyle="1" w:styleId="TableFigText">
    <w:name w:val="Table/Fig: Text"/>
    <w:basedOn w:val="Normal"/>
    <w:link w:val="TableFigTextChar"/>
    <w:uiPriority w:val="6"/>
    <w:rsid w:val="001C14F2"/>
    <w:pPr>
      <w:keepLines/>
      <w:tabs>
        <w:tab w:val="left" w:pos="198"/>
      </w:tabs>
      <w:spacing w:before="60" w:after="60" w:line="200" w:lineRule="atLeast"/>
    </w:pPr>
    <w:rPr>
      <w:sz w:val="16"/>
      <w:lang w:eastAsia="en-US"/>
    </w:rPr>
  </w:style>
  <w:style w:type="character" w:customStyle="1" w:styleId="TableFigTextChar">
    <w:name w:val="Table/Fig: Text Char"/>
    <w:link w:val="TableFigText"/>
    <w:uiPriority w:val="6"/>
    <w:rsid w:val="001C14F2"/>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995150"/>
    <w:rPr>
      <w:sz w:val="16"/>
      <w:szCs w:val="16"/>
    </w:rPr>
  </w:style>
  <w:style w:type="paragraph" w:styleId="CommentText">
    <w:name w:val="annotation text"/>
    <w:basedOn w:val="Normal"/>
    <w:link w:val="CommentTextChar"/>
    <w:uiPriority w:val="99"/>
    <w:semiHidden/>
    <w:unhideWhenUsed/>
    <w:rsid w:val="00995150"/>
    <w:rPr>
      <w:sz w:val="20"/>
    </w:rPr>
  </w:style>
  <w:style w:type="character" w:customStyle="1" w:styleId="CommentTextChar">
    <w:name w:val="Comment Text Char"/>
    <w:basedOn w:val="DefaultParagraphFont"/>
    <w:link w:val="CommentText"/>
    <w:uiPriority w:val="99"/>
    <w:semiHidden/>
    <w:rsid w:val="009951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150"/>
    <w:rPr>
      <w:b/>
      <w:bCs/>
    </w:rPr>
  </w:style>
  <w:style w:type="character" w:customStyle="1" w:styleId="CommentSubjectChar">
    <w:name w:val="Comment Subject Char"/>
    <w:basedOn w:val="CommentTextChar"/>
    <w:link w:val="CommentSubject"/>
    <w:uiPriority w:val="99"/>
    <w:semiHidden/>
    <w:rsid w:val="00995150"/>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0D5"/>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00D5"/>
    <w:rPr>
      <w:color w:val="0000FF"/>
      <w:u w:val="single"/>
    </w:rPr>
  </w:style>
  <w:style w:type="paragraph" w:styleId="BalloonText">
    <w:name w:val="Balloon Text"/>
    <w:basedOn w:val="Normal"/>
    <w:link w:val="BalloonTextChar"/>
    <w:uiPriority w:val="99"/>
    <w:semiHidden/>
    <w:unhideWhenUsed/>
    <w:rsid w:val="00290A34"/>
    <w:rPr>
      <w:rFonts w:ascii="Tahoma" w:hAnsi="Tahoma" w:cs="Tahoma"/>
      <w:sz w:val="16"/>
      <w:szCs w:val="16"/>
    </w:rPr>
  </w:style>
  <w:style w:type="character" w:customStyle="1" w:styleId="BalloonTextChar">
    <w:name w:val="Balloon Text Char"/>
    <w:basedOn w:val="DefaultParagraphFont"/>
    <w:link w:val="BalloonText"/>
    <w:uiPriority w:val="99"/>
    <w:semiHidden/>
    <w:rsid w:val="00290A34"/>
    <w:rPr>
      <w:rFonts w:ascii="Tahoma" w:eastAsia="Times New Roman" w:hAnsi="Tahoma" w:cs="Tahoma"/>
      <w:sz w:val="16"/>
      <w:szCs w:val="16"/>
      <w:lang w:eastAsia="en-AU"/>
    </w:rPr>
  </w:style>
  <w:style w:type="paragraph" w:styleId="Header">
    <w:name w:val="header"/>
    <w:basedOn w:val="Normal"/>
    <w:link w:val="HeaderChar"/>
    <w:uiPriority w:val="99"/>
    <w:unhideWhenUsed/>
    <w:rsid w:val="0073491A"/>
    <w:pPr>
      <w:tabs>
        <w:tab w:val="center" w:pos="4513"/>
        <w:tab w:val="right" w:pos="9026"/>
      </w:tabs>
    </w:pPr>
  </w:style>
  <w:style w:type="character" w:customStyle="1" w:styleId="HeaderChar">
    <w:name w:val="Header Char"/>
    <w:basedOn w:val="DefaultParagraphFont"/>
    <w:link w:val="Header"/>
    <w:uiPriority w:val="99"/>
    <w:rsid w:val="0073491A"/>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73491A"/>
    <w:pPr>
      <w:tabs>
        <w:tab w:val="center" w:pos="4513"/>
        <w:tab w:val="right" w:pos="9026"/>
      </w:tabs>
    </w:pPr>
  </w:style>
  <w:style w:type="character" w:customStyle="1" w:styleId="FooterChar">
    <w:name w:val="Footer Char"/>
    <w:basedOn w:val="DefaultParagraphFont"/>
    <w:link w:val="Footer"/>
    <w:uiPriority w:val="99"/>
    <w:rsid w:val="0073491A"/>
    <w:rPr>
      <w:rFonts w:ascii="Arial" w:eastAsia="Times New Roman" w:hAnsi="Arial" w:cs="Times New Roman"/>
      <w:sz w:val="24"/>
      <w:szCs w:val="20"/>
      <w:lang w:eastAsia="en-AU"/>
    </w:rPr>
  </w:style>
  <w:style w:type="paragraph" w:customStyle="1" w:styleId="AIHWbodytext">
    <w:name w:val="AIHW body text"/>
    <w:basedOn w:val="Normal"/>
    <w:link w:val="AIHWbodytextChar"/>
    <w:qFormat/>
    <w:rsid w:val="001C14F2"/>
    <w:pPr>
      <w:spacing w:before="60" w:after="120" w:line="260" w:lineRule="atLeast"/>
    </w:pPr>
    <w:rPr>
      <w:rFonts w:ascii="Book Antiqua" w:hAnsi="Book Antiqua"/>
      <w:sz w:val="22"/>
      <w:lang w:eastAsia="en-US"/>
    </w:rPr>
  </w:style>
  <w:style w:type="character" w:customStyle="1" w:styleId="AIHWbodytextChar">
    <w:name w:val="AIHW body text Char"/>
    <w:link w:val="AIHWbodytext"/>
    <w:locked/>
    <w:rsid w:val="001C14F2"/>
    <w:rPr>
      <w:rFonts w:ascii="Book Antiqua" w:eastAsia="Times New Roman" w:hAnsi="Book Antiqua" w:cs="Times New Roman"/>
      <w:szCs w:val="20"/>
    </w:rPr>
  </w:style>
  <w:style w:type="paragraph" w:customStyle="1" w:styleId="Bullet1">
    <w:name w:val="Bullet 1"/>
    <w:basedOn w:val="AIHWbodytext"/>
    <w:uiPriority w:val="2"/>
    <w:qFormat/>
    <w:rsid w:val="001C14F2"/>
    <w:pPr>
      <w:numPr>
        <w:numId w:val="8"/>
      </w:numPr>
      <w:tabs>
        <w:tab w:val="clear" w:pos="397"/>
        <w:tab w:val="num" w:pos="360"/>
      </w:tabs>
      <w:spacing w:before="40" w:after="80"/>
      <w:ind w:left="0" w:firstLine="0"/>
    </w:pPr>
  </w:style>
  <w:style w:type="paragraph" w:customStyle="1" w:styleId="TableFigText">
    <w:name w:val="Table/Fig: Text"/>
    <w:basedOn w:val="Normal"/>
    <w:link w:val="TableFigTextChar"/>
    <w:uiPriority w:val="6"/>
    <w:rsid w:val="001C14F2"/>
    <w:pPr>
      <w:keepLines/>
      <w:tabs>
        <w:tab w:val="left" w:pos="198"/>
      </w:tabs>
      <w:spacing w:before="60" w:after="60" w:line="200" w:lineRule="atLeast"/>
    </w:pPr>
    <w:rPr>
      <w:sz w:val="16"/>
      <w:lang w:eastAsia="en-US"/>
    </w:rPr>
  </w:style>
  <w:style w:type="character" w:customStyle="1" w:styleId="TableFigTextChar">
    <w:name w:val="Table/Fig: Text Char"/>
    <w:link w:val="TableFigText"/>
    <w:uiPriority w:val="6"/>
    <w:rsid w:val="001C14F2"/>
    <w:rPr>
      <w:rFonts w:ascii="Arial" w:eastAsia="Times New Roman" w:hAnsi="Arial" w:cs="Times New Roman"/>
      <w:sz w:val="16"/>
      <w:szCs w:val="20"/>
    </w:rPr>
  </w:style>
  <w:style w:type="character" w:styleId="CommentReference">
    <w:name w:val="annotation reference"/>
    <w:basedOn w:val="DefaultParagraphFont"/>
    <w:uiPriority w:val="99"/>
    <w:semiHidden/>
    <w:unhideWhenUsed/>
    <w:rsid w:val="00995150"/>
    <w:rPr>
      <w:sz w:val="16"/>
      <w:szCs w:val="16"/>
    </w:rPr>
  </w:style>
  <w:style w:type="paragraph" w:styleId="CommentText">
    <w:name w:val="annotation text"/>
    <w:basedOn w:val="Normal"/>
    <w:link w:val="CommentTextChar"/>
    <w:uiPriority w:val="99"/>
    <w:semiHidden/>
    <w:unhideWhenUsed/>
    <w:rsid w:val="00995150"/>
    <w:rPr>
      <w:sz w:val="20"/>
    </w:rPr>
  </w:style>
  <w:style w:type="character" w:customStyle="1" w:styleId="CommentTextChar">
    <w:name w:val="Comment Text Char"/>
    <w:basedOn w:val="DefaultParagraphFont"/>
    <w:link w:val="CommentText"/>
    <w:uiPriority w:val="99"/>
    <w:semiHidden/>
    <w:rsid w:val="0099515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95150"/>
    <w:rPr>
      <w:b/>
      <w:bCs/>
    </w:rPr>
  </w:style>
  <w:style w:type="character" w:customStyle="1" w:styleId="CommentSubjectChar">
    <w:name w:val="Comment Subject Char"/>
    <w:basedOn w:val="CommentTextChar"/>
    <w:link w:val="CommentSubject"/>
    <w:uiPriority w:val="99"/>
    <w:semiHidden/>
    <w:rsid w:val="00995150"/>
    <w:rPr>
      <w:rFonts w:ascii="Arial" w:eastAsia="Times New Roman" w:hAnsi="Arial" w:cs="Times New Roman"/>
      <w:b/>
      <w:bCs/>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JJASecretariat@act.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1AB213361EC4799F9A0153F6F3904" ma:contentTypeVersion="1" ma:contentTypeDescription="Create a new document." ma:contentTypeScope="" ma:versionID="86396e4bf30b95556e9f9cc471846bd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FDE2E7-91DA-4C6E-A882-D3ACD294ECE7}"/>
</file>

<file path=customXml/itemProps2.xml><?xml version="1.0" encoding="utf-8"?>
<ds:datastoreItem xmlns:ds="http://schemas.openxmlformats.org/officeDocument/2006/customXml" ds:itemID="{0708F22A-06F8-4D85-951A-E6F060F19DEB}"/>
</file>

<file path=customXml/itemProps3.xml><?xml version="1.0" encoding="utf-8"?>
<ds:datastoreItem xmlns:ds="http://schemas.openxmlformats.org/officeDocument/2006/customXml" ds:itemID="{7A53D152-5E00-41D3-90DB-5C79D14E538A}"/>
</file>

<file path=docProps/app.xml><?xml version="1.0" encoding="utf-8"?>
<Properties xmlns="http://schemas.openxmlformats.org/officeDocument/2006/extended-properties" xmlns:vt="http://schemas.openxmlformats.org/officeDocument/2006/docPropsVTypes">
  <Template>Normal</Template>
  <TotalTime>13</TotalTime>
  <Pages>4</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JulieAnne Anderson</dc:creator>
  <cp:lastModifiedBy>Alison Grace</cp:lastModifiedBy>
  <cp:revision>2</cp:revision>
  <cp:lastPrinted>2013-10-02T23:44:00Z</cp:lastPrinted>
  <dcterms:created xsi:type="dcterms:W3CDTF">2013-12-18T23:33:00Z</dcterms:created>
  <dcterms:modified xsi:type="dcterms:W3CDTF">2013-12-18T23:33:00Z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0x010100E941AB213361EC4799F9A0153F6F3904</vt:lpwstr>
  </property>
</Properties>
</file>