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87" w:rsidRPr="000E5287" w:rsidRDefault="009E707F" w:rsidP="000E5287">
      <w:pPr>
        <w:rPr>
          <w:rFonts w:ascii="Times New Roman" w:hAnsi="Times New Roman"/>
          <w:lang w:eastAsia="en-US"/>
        </w:rPr>
      </w:pPr>
      <w:r>
        <w:rPr>
          <w:rFonts w:ascii="Times New Roman" w:hAnsi="Times New Roman"/>
          <w:noProof/>
        </w:rPr>
        <w:pict>
          <v:shapetype id="_x0000_t202" coordsize="21600,21600" o:spt="202" path="m,l,21600r21600,l21600,xe">
            <v:stroke joinstyle="miter"/>
            <v:path gradientshapeok="t" o:connecttype="rect"/>
          </v:shapetype>
          <v:shape id="Text Box 1" o:spid="_x0000_s1026" type="#_x0000_t202" style="position:absolute;margin-left:1in;margin-top:4.2pt;width:384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" strokecolor="white">
            <v:textbox>
              <w:txbxContent>
                <w:p w:rsidR="007E5C85" w:rsidRDefault="007E5C85" w:rsidP="000E5287">
                  <w:pPr>
                    <w:jc w:val="center"/>
                    <w:rPr>
                      <w:rFonts w:cs="Arial"/>
                      <w:b/>
                      <w:color w:val="333399"/>
                      <w:sz w:val="32"/>
                      <w:szCs w:val="32"/>
                    </w:rPr>
                  </w:pPr>
                  <w:r w:rsidRPr="00B96643">
                    <w:rPr>
                      <w:rFonts w:cs="Arial"/>
                      <w:b/>
                      <w:color w:val="333399"/>
                      <w:sz w:val="32"/>
                      <w:szCs w:val="32"/>
                    </w:rPr>
                    <w:t xml:space="preserve">Standing Council on Community and </w:t>
                  </w:r>
                </w:p>
                <w:p w:rsidR="007E5C85" w:rsidRPr="00B96643" w:rsidRDefault="007E5C85" w:rsidP="000E5287">
                  <w:pPr>
                    <w:jc w:val="center"/>
                    <w:rPr>
                      <w:rFonts w:cs="Arial"/>
                      <w:b/>
                      <w:color w:val="333399"/>
                      <w:sz w:val="32"/>
                      <w:szCs w:val="32"/>
                    </w:rPr>
                  </w:pPr>
                  <w:r w:rsidRPr="00B96643">
                    <w:rPr>
                      <w:rFonts w:cs="Arial"/>
                      <w:b/>
                      <w:color w:val="333399"/>
                      <w:sz w:val="32"/>
                      <w:szCs w:val="32"/>
                    </w:rPr>
                    <w:t>Disability Services Advisory Council</w:t>
                  </w:r>
                </w:p>
                <w:p w:rsidR="007E5C85" w:rsidRPr="00405954" w:rsidRDefault="007E5C85" w:rsidP="000E5287">
                  <w:pPr>
                    <w:rPr>
                      <w:color w:val="333399"/>
                      <w:szCs w:val="32"/>
                    </w:rPr>
                  </w:pPr>
                </w:p>
              </w:txbxContent>
            </v:textbox>
          </v:shape>
        </w:pict>
      </w:r>
      <w:r w:rsidR="000E5287" w:rsidRPr="000E5287">
        <w:rPr>
          <w:rFonts w:ascii="Times New Roman" w:hAnsi="Times New Roman"/>
          <w:lang w:eastAsia="en-US"/>
        </w:rPr>
        <w:object w:dxaOrig="1500"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72.65pt" o:ole="">
            <v:imagedata r:id="rId7" o:title=""/>
          </v:shape>
          <o:OLEObject Type="Embed" ProgID="MSPhotoEd.3" ShapeID="_x0000_i1025" DrawAspect="Content" ObjectID="_1448954926" r:id="rId8"/>
        </w:object>
      </w:r>
    </w:p>
    <w:p w:rsidR="007C00D5" w:rsidRPr="007E0343" w:rsidRDefault="007C00D5" w:rsidP="000D0925">
      <w:pPr>
        <w:rPr>
          <w:b/>
          <w:sz w:val="28"/>
          <w:szCs w:val="28"/>
        </w:rPr>
      </w:pPr>
      <w:r w:rsidRPr="007E0343">
        <w:rPr>
          <w:b/>
          <w:sz w:val="28"/>
          <w:szCs w:val="28"/>
        </w:rPr>
        <w:t>S</w:t>
      </w:r>
      <w:r w:rsidR="007E0343" w:rsidRPr="007E0343">
        <w:rPr>
          <w:b/>
          <w:sz w:val="28"/>
          <w:szCs w:val="28"/>
        </w:rPr>
        <w:t>ummary of f</w:t>
      </w:r>
      <w:r w:rsidR="00034E5F" w:rsidRPr="007E0343">
        <w:rPr>
          <w:b/>
          <w:sz w:val="28"/>
          <w:szCs w:val="28"/>
        </w:rPr>
        <w:t>unding proposal 2014–15</w:t>
      </w:r>
    </w:p>
    <w:p w:rsidR="007E0343" w:rsidRDefault="007E0343" w:rsidP="007C00D5">
      <w:pPr>
        <w:rPr>
          <w:sz w:val="22"/>
          <w:szCs w:val="22"/>
        </w:rPr>
      </w:pPr>
    </w:p>
    <w:p w:rsidR="007E0343" w:rsidRPr="007E0343" w:rsidRDefault="007E0343" w:rsidP="007C00D5">
      <w:pPr>
        <w:rPr>
          <w:b/>
          <w:sz w:val="28"/>
          <w:szCs w:val="28"/>
        </w:rPr>
      </w:pPr>
      <w:r w:rsidRPr="007E0343">
        <w:rPr>
          <w:b/>
          <w:sz w:val="28"/>
          <w:szCs w:val="28"/>
        </w:rPr>
        <w:t>Part A – Project funding</w:t>
      </w:r>
    </w:p>
    <w:p w:rsidR="007E0343" w:rsidRPr="00DD58B2" w:rsidRDefault="007E0343" w:rsidP="007C00D5">
      <w:pP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5"/>
      </w:tblGrid>
      <w:tr w:rsidR="007C00D5" w:rsidRPr="00DD58B2" w:rsidTr="00C41D17">
        <w:trPr>
          <w:cantSplit/>
        </w:trPr>
        <w:tc>
          <w:tcPr>
            <w:tcW w:w="9072" w:type="dxa"/>
            <w:gridSpan w:val="2"/>
          </w:tcPr>
          <w:p w:rsidR="007C00D5" w:rsidRPr="00DD58B2" w:rsidRDefault="00290A34" w:rsidP="008946EF">
            <w:pPr>
              <w:spacing w:before="120" w:after="120"/>
              <w:jc w:val="both"/>
              <w:rPr>
                <w:b/>
                <w:szCs w:val="22"/>
              </w:rPr>
            </w:pPr>
            <w:r>
              <w:rPr>
                <w:b/>
                <w:sz w:val="22"/>
                <w:szCs w:val="22"/>
              </w:rPr>
              <w:t>Sub</w:t>
            </w:r>
            <w:r w:rsidR="00034E5F">
              <w:rPr>
                <w:b/>
                <w:sz w:val="22"/>
                <w:szCs w:val="22"/>
              </w:rPr>
              <w:t xml:space="preserve"> Committee </w:t>
            </w:r>
            <w:r w:rsidR="007E0343">
              <w:rPr>
                <w:b/>
                <w:sz w:val="22"/>
                <w:szCs w:val="22"/>
              </w:rPr>
              <w:t>or</w:t>
            </w:r>
            <w:r w:rsidR="00034E5F">
              <w:rPr>
                <w:b/>
                <w:sz w:val="22"/>
                <w:szCs w:val="22"/>
              </w:rPr>
              <w:t xml:space="preserve"> Working Group sponsoring the project</w:t>
            </w:r>
          </w:p>
          <w:p w:rsidR="007C00D5" w:rsidRPr="00AD6EBD" w:rsidRDefault="00C41D17" w:rsidP="00C41D17">
            <w:pPr>
              <w:ind w:firstLine="284"/>
              <w:rPr>
                <w:i/>
                <w:szCs w:val="22"/>
              </w:rPr>
            </w:pPr>
            <w:r w:rsidRPr="00AD6EBD">
              <w:rPr>
                <w:rFonts w:cs="Arial"/>
                <w:sz w:val="22"/>
                <w:szCs w:val="22"/>
              </w:rPr>
              <w:t>Australasian Juvenile Justice Administrators (AJJA)</w:t>
            </w:r>
          </w:p>
          <w:p w:rsidR="007C00D5" w:rsidRPr="00DD58B2" w:rsidRDefault="007C00D5" w:rsidP="00C817EB">
            <w:pPr>
              <w:ind w:firstLine="284"/>
              <w:rPr>
                <w:szCs w:val="22"/>
              </w:rPr>
            </w:pPr>
          </w:p>
        </w:tc>
      </w:tr>
      <w:tr w:rsidR="007C00D5" w:rsidRPr="00DD58B2" w:rsidTr="00C41D17">
        <w:trPr>
          <w:cantSplit/>
        </w:trPr>
        <w:tc>
          <w:tcPr>
            <w:tcW w:w="9072" w:type="dxa"/>
            <w:gridSpan w:val="2"/>
          </w:tcPr>
          <w:p w:rsidR="007C00D5" w:rsidRPr="00DD58B2" w:rsidRDefault="007C00D5" w:rsidP="008946EF">
            <w:pPr>
              <w:spacing w:before="120"/>
              <w:rPr>
                <w:b/>
                <w:szCs w:val="22"/>
              </w:rPr>
            </w:pPr>
            <w:r w:rsidRPr="00DD58B2">
              <w:rPr>
                <w:b/>
                <w:sz w:val="22"/>
                <w:szCs w:val="22"/>
              </w:rPr>
              <w:t>Sponsor'</w:t>
            </w:r>
            <w:r w:rsidR="007E0343">
              <w:rPr>
                <w:b/>
                <w:sz w:val="22"/>
                <w:szCs w:val="22"/>
              </w:rPr>
              <w:t>s contact o</w:t>
            </w:r>
            <w:r w:rsidR="00034E5F">
              <w:rPr>
                <w:b/>
                <w:sz w:val="22"/>
                <w:szCs w:val="22"/>
              </w:rPr>
              <w:t>fficer or Secretariat</w:t>
            </w:r>
          </w:p>
          <w:p w:rsidR="00034E5F" w:rsidRDefault="00034E5F" w:rsidP="00034E5F">
            <w:pPr>
              <w:rPr>
                <w:szCs w:val="22"/>
              </w:rPr>
            </w:pPr>
            <w:r>
              <w:rPr>
                <w:sz w:val="22"/>
                <w:szCs w:val="22"/>
              </w:rPr>
              <w:t>Committee responsible for the project</w:t>
            </w:r>
          </w:p>
          <w:p w:rsidR="00034E5F" w:rsidRDefault="00034E5F" w:rsidP="00034E5F">
            <w:pPr>
              <w:rPr>
                <w:szCs w:val="22"/>
              </w:rPr>
            </w:pPr>
          </w:p>
          <w:p w:rsidR="007C00D5" w:rsidRPr="00DD58B2" w:rsidRDefault="00391DCE" w:rsidP="00034E5F">
            <w:pPr>
              <w:rPr>
                <w:szCs w:val="22"/>
              </w:rPr>
            </w:pPr>
            <w:r>
              <w:rPr>
                <w:sz w:val="22"/>
                <w:szCs w:val="22"/>
              </w:rPr>
              <w:t>Name</w:t>
            </w:r>
            <w:r w:rsidR="007C00D5" w:rsidRPr="00DD58B2">
              <w:rPr>
                <w:sz w:val="22"/>
                <w:szCs w:val="22"/>
              </w:rPr>
              <w:tab/>
            </w:r>
            <w:r w:rsidR="007C00D5" w:rsidRPr="00DD58B2">
              <w:rPr>
                <w:sz w:val="22"/>
                <w:szCs w:val="22"/>
              </w:rPr>
              <w:tab/>
            </w:r>
            <w:r w:rsidR="00C41D17">
              <w:rPr>
                <w:sz w:val="22"/>
                <w:szCs w:val="22"/>
              </w:rPr>
              <w:t>Alison Grace</w:t>
            </w:r>
          </w:p>
          <w:p w:rsidR="007C00D5" w:rsidRPr="00AD6EBD" w:rsidRDefault="00391DCE" w:rsidP="007E0343">
            <w:pPr>
              <w:rPr>
                <w:szCs w:val="22"/>
              </w:rPr>
            </w:pPr>
            <w:r w:rsidRPr="00AD6EBD">
              <w:rPr>
                <w:sz w:val="22"/>
                <w:szCs w:val="22"/>
              </w:rPr>
              <w:t>Telephone</w:t>
            </w:r>
            <w:r w:rsidR="007C00D5" w:rsidRPr="00AD6EBD">
              <w:rPr>
                <w:sz w:val="22"/>
                <w:szCs w:val="22"/>
              </w:rPr>
              <w:tab/>
            </w:r>
            <w:r w:rsidR="00C41D17" w:rsidRPr="00AD6EBD">
              <w:rPr>
                <w:rFonts w:cs="Arial"/>
                <w:sz w:val="22"/>
                <w:szCs w:val="22"/>
              </w:rPr>
              <w:t>02 6205 9465</w:t>
            </w:r>
          </w:p>
          <w:p w:rsidR="007C00D5" w:rsidRDefault="00391DCE" w:rsidP="007E0343">
            <w:pPr>
              <w:ind w:left="34"/>
              <w:rPr>
                <w:szCs w:val="22"/>
              </w:rPr>
            </w:pPr>
            <w:r w:rsidRPr="00AD6EBD">
              <w:rPr>
                <w:sz w:val="22"/>
                <w:szCs w:val="22"/>
              </w:rPr>
              <w:t>e-mail</w:t>
            </w:r>
            <w:r w:rsidR="007C00D5" w:rsidRPr="00AD6EBD">
              <w:rPr>
                <w:sz w:val="22"/>
                <w:szCs w:val="22"/>
              </w:rPr>
              <w:tab/>
            </w:r>
            <w:r w:rsidR="00C41D17" w:rsidRPr="00AD6EBD">
              <w:rPr>
                <w:sz w:val="22"/>
                <w:szCs w:val="22"/>
              </w:rPr>
              <w:tab/>
            </w:r>
            <w:hyperlink r:id="rId9" w:history="1">
              <w:r w:rsidR="00C41D17" w:rsidRPr="00AD6EBD">
                <w:rPr>
                  <w:rStyle w:val="Hyperlink"/>
                  <w:rFonts w:cs="Arial"/>
                  <w:b/>
                  <w:sz w:val="22"/>
                  <w:szCs w:val="22"/>
                </w:rPr>
                <w:t>AJJASecretariat@act.gov.au</w:t>
              </w:r>
            </w:hyperlink>
          </w:p>
          <w:p w:rsidR="007C00D5" w:rsidRPr="00DD58B2" w:rsidRDefault="007C00D5" w:rsidP="00C41D17">
            <w:pPr>
              <w:rPr>
                <w:szCs w:val="22"/>
              </w:rPr>
            </w:pPr>
          </w:p>
        </w:tc>
      </w:tr>
      <w:tr w:rsidR="007C00D5" w:rsidRPr="000D667C" w:rsidTr="00C41D17">
        <w:tblPrEx>
          <w:tblLook w:val="01E0"/>
        </w:tblPrEx>
        <w:tc>
          <w:tcPr>
            <w:tcW w:w="567" w:type="dxa"/>
          </w:tcPr>
          <w:p w:rsidR="007C00D5" w:rsidRPr="000D667C" w:rsidRDefault="007C00D5" w:rsidP="008946EF">
            <w:pPr>
              <w:spacing w:before="120"/>
              <w:rPr>
                <w:szCs w:val="22"/>
              </w:rPr>
            </w:pPr>
            <w:r w:rsidRPr="000D667C">
              <w:rPr>
                <w:sz w:val="22"/>
                <w:szCs w:val="22"/>
              </w:rPr>
              <w:t>1.</w:t>
            </w:r>
          </w:p>
        </w:tc>
        <w:tc>
          <w:tcPr>
            <w:tcW w:w="8505" w:type="dxa"/>
          </w:tcPr>
          <w:p w:rsidR="007C00D5" w:rsidRPr="00391DCE" w:rsidRDefault="007E0343" w:rsidP="008946EF">
            <w:pPr>
              <w:spacing w:before="120"/>
              <w:rPr>
                <w:szCs w:val="22"/>
              </w:rPr>
            </w:pPr>
            <w:r w:rsidRPr="00391DCE">
              <w:rPr>
                <w:sz w:val="22"/>
                <w:szCs w:val="22"/>
              </w:rPr>
              <w:t>Title of p</w:t>
            </w:r>
            <w:r w:rsidR="007C00D5" w:rsidRPr="00391DCE">
              <w:rPr>
                <w:sz w:val="22"/>
                <w:szCs w:val="22"/>
              </w:rPr>
              <w:t>roject</w:t>
            </w:r>
          </w:p>
          <w:p w:rsidR="007C00D5" w:rsidRPr="00391DCE" w:rsidRDefault="007C00D5" w:rsidP="00C41D17">
            <w:pPr>
              <w:rPr>
                <w:szCs w:val="22"/>
              </w:rPr>
            </w:pPr>
          </w:p>
          <w:p w:rsidR="007C00D5" w:rsidRDefault="00AD6EBD" w:rsidP="00955B3C">
            <w:pPr>
              <w:rPr>
                <w:szCs w:val="22"/>
              </w:rPr>
            </w:pPr>
            <w:r w:rsidRPr="00AD6EBD">
              <w:rPr>
                <w:rFonts w:cs="Arial"/>
                <w:sz w:val="22"/>
                <w:szCs w:val="22"/>
              </w:rPr>
              <w:t>Develop</w:t>
            </w:r>
            <w:r w:rsidR="00ED4D9C">
              <w:rPr>
                <w:rFonts w:cs="Arial"/>
                <w:sz w:val="22"/>
                <w:szCs w:val="22"/>
              </w:rPr>
              <w:t xml:space="preserve">ment of a </w:t>
            </w:r>
            <w:r w:rsidRPr="00AD6EBD">
              <w:rPr>
                <w:rFonts w:cs="Arial"/>
                <w:sz w:val="22"/>
                <w:szCs w:val="22"/>
              </w:rPr>
              <w:t>linked data</w:t>
            </w:r>
            <w:r w:rsidR="00ED4D9C">
              <w:rPr>
                <w:rFonts w:cs="Arial"/>
                <w:sz w:val="22"/>
                <w:szCs w:val="22"/>
              </w:rPr>
              <w:t xml:space="preserve"> set for reporting on the experience</w:t>
            </w:r>
            <w:r w:rsidR="00210CFE">
              <w:rPr>
                <w:rFonts w:cs="Arial"/>
                <w:sz w:val="22"/>
                <w:szCs w:val="22"/>
              </w:rPr>
              <w:t>s</w:t>
            </w:r>
            <w:r w:rsidR="00ED4D9C">
              <w:rPr>
                <w:rFonts w:cs="Arial"/>
                <w:sz w:val="22"/>
                <w:szCs w:val="22"/>
              </w:rPr>
              <w:t xml:space="preserve"> of young people </w:t>
            </w:r>
            <w:r w:rsidR="00210CFE">
              <w:rPr>
                <w:rFonts w:cs="Arial"/>
                <w:sz w:val="22"/>
                <w:szCs w:val="22"/>
              </w:rPr>
              <w:t xml:space="preserve">who are </w:t>
            </w:r>
            <w:r w:rsidR="00955B3C">
              <w:rPr>
                <w:rFonts w:cs="Arial"/>
                <w:sz w:val="22"/>
                <w:szCs w:val="22"/>
              </w:rPr>
              <w:t xml:space="preserve">in </w:t>
            </w:r>
            <w:r w:rsidR="00210CFE">
              <w:rPr>
                <w:rFonts w:cs="Arial"/>
                <w:sz w:val="22"/>
                <w:szCs w:val="22"/>
              </w:rPr>
              <w:t xml:space="preserve">both </w:t>
            </w:r>
            <w:r w:rsidR="009C4028" w:rsidRPr="009C4028">
              <w:rPr>
                <w:rFonts w:cs="Arial"/>
                <w:sz w:val="22"/>
                <w:szCs w:val="22"/>
              </w:rPr>
              <w:t>Specialist Homelessness</w:t>
            </w:r>
            <w:r w:rsidR="009C4028">
              <w:rPr>
                <w:rFonts w:cs="Arial"/>
                <w:sz w:val="22"/>
                <w:szCs w:val="22"/>
              </w:rPr>
              <w:t xml:space="preserve"> Services</w:t>
            </w:r>
            <w:r w:rsidR="00955B3C">
              <w:rPr>
                <w:rFonts w:cs="Arial"/>
                <w:sz w:val="22"/>
                <w:szCs w:val="22"/>
              </w:rPr>
              <w:t xml:space="preserve"> and </w:t>
            </w:r>
            <w:r w:rsidR="007E5C85">
              <w:rPr>
                <w:sz w:val="22"/>
                <w:szCs w:val="22"/>
              </w:rPr>
              <w:t>youth</w:t>
            </w:r>
            <w:r w:rsidR="00955B3C" w:rsidRPr="00955B3C">
              <w:rPr>
                <w:sz w:val="22"/>
                <w:szCs w:val="22"/>
              </w:rPr>
              <w:t xml:space="preserve"> justice </w:t>
            </w:r>
            <w:r w:rsidR="00955B3C">
              <w:rPr>
                <w:sz w:val="22"/>
                <w:szCs w:val="22"/>
              </w:rPr>
              <w:t>system</w:t>
            </w:r>
            <w:r w:rsidR="00210CFE">
              <w:rPr>
                <w:sz w:val="22"/>
                <w:szCs w:val="22"/>
              </w:rPr>
              <w:t>s</w:t>
            </w:r>
            <w:r w:rsidR="00955B3C">
              <w:rPr>
                <w:sz w:val="22"/>
                <w:szCs w:val="22"/>
              </w:rPr>
              <w:t xml:space="preserve"> </w:t>
            </w:r>
            <w:r w:rsidR="00955B3C" w:rsidRPr="00955B3C">
              <w:rPr>
                <w:sz w:val="22"/>
                <w:szCs w:val="22"/>
              </w:rPr>
              <w:t xml:space="preserve">in Australia. </w:t>
            </w:r>
          </w:p>
          <w:p w:rsidR="00955B3C" w:rsidRPr="00391DCE" w:rsidRDefault="00955B3C" w:rsidP="00955B3C">
            <w:pPr>
              <w:rPr>
                <w:szCs w:val="22"/>
              </w:rPr>
            </w:pPr>
          </w:p>
        </w:tc>
      </w:tr>
      <w:tr w:rsidR="007C00D5" w:rsidRPr="000D667C" w:rsidTr="00C41D17">
        <w:tblPrEx>
          <w:tblLook w:val="01E0"/>
        </w:tblPrEx>
        <w:tc>
          <w:tcPr>
            <w:tcW w:w="567" w:type="dxa"/>
          </w:tcPr>
          <w:p w:rsidR="007C00D5" w:rsidRPr="000D667C" w:rsidRDefault="007C00D5" w:rsidP="008946EF">
            <w:pPr>
              <w:spacing w:before="120"/>
              <w:rPr>
                <w:szCs w:val="22"/>
              </w:rPr>
            </w:pPr>
            <w:r w:rsidRPr="000D667C">
              <w:rPr>
                <w:sz w:val="22"/>
                <w:szCs w:val="22"/>
              </w:rPr>
              <w:t>2.</w:t>
            </w:r>
          </w:p>
        </w:tc>
        <w:tc>
          <w:tcPr>
            <w:tcW w:w="8505" w:type="dxa"/>
          </w:tcPr>
          <w:p w:rsidR="007C00D5" w:rsidRPr="00391DCE" w:rsidRDefault="007E0343" w:rsidP="008946EF">
            <w:pPr>
              <w:spacing w:before="120"/>
              <w:rPr>
                <w:szCs w:val="22"/>
              </w:rPr>
            </w:pPr>
            <w:r w:rsidRPr="00391DCE">
              <w:rPr>
                <w:sz w:val="22"/>
                <w:szCs w:val="22"/>
              </w:rPr>
              <w:t>Purpose of p</w:t>
            </w:r>
            <w:r w:rsidR="007C00D5" w:rsidRPr="00391DCE">
              <w:rPr>
                <w:sz w:val="22"/>
                <w:szCs w:val="22"/>
              </w:rPr>
              <w:t>roject</w:t>
            </w:r>
          </w:p>
          <w:p w:rsidR="007C00D5" w:rsidRPr="00391DCE" w:rsidRDefault="007C00D5" w:rsidP="00C41D17">
            <w:pPr>
              <w:rPr>
                <w:szCs w:val="22"/>
              </w:rPr>
            </w:pPr>
          </w:p>
          <w:p w:rsidR="007C00D5" w:rsidRPr="00AD6EBD" w:rsidRDefault="00AD6EBD" w:rsidP="00C817EB">
            <w:pPr>
              <w:rPr>
                <w:szCs w:val="22"/>
              </w:rPr>
            </w:pPr>
            <w:r w:rsidRPr="00AD6EBD">
              <w:rPr>
                <w:rFonts w:cs="Arial"/>
                <w:sz w:val="22"/>
                <w:szCs w:val="22"/>
              </w:rPr>
              <w:t xml:space="preserve">This project involves developing a linked data set that can be used to report on </w:t>
            </w:r>
            <w:r w:rsidR="009A5052">
              <w:rPr>
                <w:rFonts w:cs="Arial"/>
                <w:sz w:val="22"/>
                <w:szCs w:val="22"/>
              </w:rPr>
              <w:t xml:space="preserve">the </w:t>
            </w:r>
            <w:r w:rsidR="004A5EA5" w:rsidRPr="004A5EA5">
              <w:rPr>
                <w:rFonts w:cs="Arial"/>
                <w:sz w:val="22"/>
                <w:szCs w:val="22"/>
              </w:rPr>
              <w:t>experience</w:t>
            </w:r>
            <w:r w:rsidR="00210CFE">
              <w:rPr>
                <w:rFonts w:cs="Arial"/>
                <w:sz w:val="22"/>
                <w:szCs w:val="22"/>
              </w:rPr>
              <w:t>s</w:t>
            </w:r>
            <w:r w:rsidR="004A5EA5" w:rsidRPr="004A5EA5">
              <w:rPr>
                <w:rFonts w:cs="Arial"/>
                <w:sz w:val="22"/>
                <w:szCs w:val="22"/>
              </w:rPr>
              <w:t xml:space="preserve"> </w:t>
            </w:r>
            <w:r w:rsidR="00210CFE" w:rsidRPr="00210CFE">
              <w:rPr>
                <w:rFonts w:cs="Arial"/>
                <w:sz w:val="22"/>
                <w:szCs w:val="22"/>
              </w:rPr>
              <w:t xml:space="preserve">of </w:t>
            </w:r>
            <w:r w:rsidR="00877DE1">
              <w:rPr>
                <w:rFonts w:cs="Arial"/>
                <w:sz w:val="22"/>
                <w:szCs w:val="22"/>
              </w:rPr>
              <w:t xml:space="preserve">homelessness for </w:t>
            </w:r>
            <w:r w:rsidR="00210CFE" w:rsidRPr="00210CFE">
              <w:rPr>
                <w:rFonts w:cs="Arial"/>
                <w:sz w:val="22"/>
                <w:szCs w:val="22"/>
              </w:rPr>
              <w:t xml:space="preserve">young people </w:t>
            </w:r>
            <w:r w:rsidR="00877DE1">
              <w:rPr>
                <w:rFonts w:cs="Arial"/>
                <w:sz w:val="22"/>
                <w:szCs w:val="22"/>
              </w:rPr>
              <w:t xml:space="preserve">leaving the </w:t>
            </w:r>
            <w:r w:rsidR="007E5C85">
              <w:rPr>
                <w:rFonts w:cs="Arial"/>
                <w:sz w:val="22"/>
                <w:szCs w:val="22"/>
              </w:rPr>
              <w:t xml:space="preserve">Youth </w:t>
            </w:r>
            <w:r w:rsidR="00877DE1">
              <w:rPr>
                <w:rFonts w:cs="Arial"/>
                <w:sz w:val="22"/>
                <w:szCs w:val="22"/>
              </w:rPr>
              <w:t>Justice system,</w:t>
            </w:r>
            <w:r w:rsidR="006A4A29">
              <w:rPr>
                <w:rFonts w:cs="Arial"/>
                <w:sz w:val="22"/>
                <w:szCs w:val="22"/>
              </w:rPr>
              <w:t xml:space="preserve"> Specifically, it involves analysing linked data from the Juvenile Justice National Minimum Data Set (JJ NMDS) and the Specialist Homelessness</w:t>
            </w:r>
            <w:r w:rsidR="00210CFE">
              <w:rPr>
                <w:rFonts w:cs="Arial"/>
                <w:sz w:val="22"/>
                <w:szCs w:val="22"/>
              </w:rPr>
              <w:t xml:space="preserve"> Services</w:t>
            </w:r>
            <w:r w:rsidR="006A4A29">
              <w:rPr>
                <w:rFonts w:cs="Arial"/>
                <w:sz w:val="22"/>
                <w:szCs w:val="22"/>
              </w:rPr>
              <w:t xml:space="preserve"> Collection</w:t>
            </w:r>
            <w:r w:rsidR="00210CFE">
              <w:rPr>
                <w:rFonts w:cs="Arial"/>
                <w:sz w:val="22"/>
                <w:szCs w:val="22"/>
              </w:rPr>
              <w:t xml:space="preserve"> (SHSC)</w:t>
            </w:r>
            <w:r w:rsidR="006A4A29">
              <w:rPr>
                <w:rFonts w:cs="Arial"/>
                <w:sz w:val="22"/>
                <w:szCs w:val="22"/>
              </w:rPr>
              <w:t>.</w:t>
            </w:r>
          </w:p>
          <w:p w:rsidR="00C817EB" w:rsidRPr="00391DCE" w:rsidRDefault="00C817EB" w:rsidP="00C817EB">
            <w:pPr>
              <w:rPr>
                <w:szCs w:val="22"/>
              </w:rPr>
            </w:pPr>
          </w:p>
        </w:tc>
      </w:tr>
      <w:tr w:rsidR="007C00D5" w:rsidRPr="000D667C" w:rsidTr="00C41D17">
        <w:tblPrEx>
          <w:tblLook w:val="01E0"/>
        </w:tblPrEx>
        <w:tc>
          <w:tcPr>
            <w:tcW w:w="567" w:type="dxa"/>
          </w:tcPr>
          <w:p w:rsidR="007C00D5" w:rsidRPr="000D667C" w:rsidRDefault="007C00D5" w:rsidP="008946EF">
            <w:pPr>
              <w:spacing w:before="120"/>
              <w:rPr>
                <w:szCs w:val="22"/>
              </w:rPr>
            </w:pPr>
            <w:r w:rsidRPr="000D667C">
              <w:rPr>
                <w:sz w:val="22"/>
                <w:szCs w:val="22"/>
              </w:rPr>
              <w:t>3.</w:t>
            </w:r>
          </w:p>
        </w:tc>
        <w:tc>
          <w:tcPr>
            <w:tcW w:w="8505" w:type="dxa"/>
          </w:tcPr>
          <w:p w:rsidR="007C00D5" w:rsidRPr="00391DCE" w:rsidRDefault="007E0343" w:rsidP="008946EF">
            <w:pPr>
              <w:spacing w:before="120"/>
              <w:rPr>
                <w:szCs w:val="22"/>
              </w:rPr>
            </w:pPr>
            <w:r w:rsidRPr="00391DCE">
              <w:rPr>
                <w:sz w:val="22"/>
                <w:szCs w:val="22"/>
              </w:rPr>
              <w:t>Outcomes to be a</w:t>
            </w:r>
            <w:r w:rsidR="007C00D5" w:rsidRPr="00391DCE">
              <w:rPr>
                <w:sz w:val="22"/>
                <w:szCs w:val="22"/>
              </w:rPr>
              <w:t>chieved</w:t>
            </w:r>
          </w:p>
          <w:p w:rsidR="007C00D5" w:rsidRPr="00391DCE" w:rsidRDefault="007C00D5" w:rsidP="00C41D17">
            <w:pPr>
              <w:rPr>
                <w:szCs w:val="22"/>
              </w:rPr>
            </w:pPr>
          </w:p>
          <w:p w:rsidR="00AD6EBD" w:rsidRPr="00AD6EBD" w:rsidRDefault="00AD6EBD" w:rsidP="00C7000A">
            <w:pPr>
              <w:pStyle w:val="AIHWbodytext"/>
              <w:rPr>
                <w:rFonts w:ascii="Arial" w:hAnsi="Arial" w:cs="Arial"/>
                <w:szCs w:val="22"/>
              </w:rPr>
            </w:pPr>
            <w:r w:rsidRPr="00AD6EBD">
              <w:rPr>
                <w:rFonts w:ascii="Arial" w:hAnsi="Arial" w:cs="Arial"/>
                <w:szCs w:val="22"/>
              </w:rPr>
              <w:t>Th</w:t>
            </w:r>
            <w:r w:rsidR="0056105B">
              <w:rPr>
                <w:rFonts w:ascii="Arial" w:hAnsi="Arial" w:cs="Arial"/>
                <w:szCs w:val="22"/>
              </w:rPr>
              <w:t>e</w:t>
            </w:r>
            <w:r w:rsidRPr="00AD6EBD">
              <w:rPr>
                <w:rFonts w:ascii="Arial" w:hAnsi="Arial" w:cs="Arial"/>
                <w:szCs w:val="22"/>
              </w:rPr>
              <w:t xml:space="preserve"> main </w:t>
            </w:r>
            <w:r w:rsidRPr="00AD6EBD">
              <w:rPr>
                <w:rFonts w:ascii="Arial" w:hAnsi="Arial" w:cs="Arial"/>
                <w:szCs w:val="22"/>
                <w:u w:val="single"/>
              </w:rPr>
              <w:t xml:space="preserve">outcomes </w:t>
            </w:r>
            <w:r w:rsidRPr="00AD6EBD">
              <w:rPr>
                <w:rFonts w:ascii="Arial" w:hAnsi="Arial" w:cs="Arial"/>
                <w:szCs w:val="22"/>
              </w:rPr>
              <w:t>of this project would be</w:t>
            </w:r>
            <w:r w:rsidR="00C7000A">
              <w:rPr>
                <w:rFonts w:ascii="Arial" w:hAnsi="Arial" w:cs="Arial"/>
                <w:szCs w:val="22"/>
              </w:rPr>
              <w:t xml:space="preserve"> the analysis of a </w:t>
            </w:r>
            <w:r w:rsidR="00BF67C0">
              <w:rPr>
                <w:rFonts w:ascii="Arial" w:hAnsi="Arial" w:cs="Arial"/>
                <w:szCs w:val="22"/>
              </w:rPr>
              <w:t xml:space="preserve">national </w:t>
            </w:r>
            <w:r w:rsidR="00C7000A">
              <w:rPr>
                <w:rFonts w:ascii="Arial" w:hAnsi="Arial" w:cs="Arial"/>
                <w:szCs w:val="22"/>
              </w:rPr>
              <w:t xml:space="preserve">dataset linking juvenile justice supervision and </w:t>
            </w:r>
            <w:r w:rsidR="00B34986">
              <w:rPr>
                <w:rFonts w:ascii="Arial" w:hAnsi="Arial" w:cs="Arial"/>
                <w:szCs w:val="22"/>
              </w:rPr>
              <w:t>s</w:t>
            </w:r>
            <w:r w:rsidR="00BF67C0">
              <w:rPr>
                <w:rFonts w:ascii="Arial" w:hAnsi="Arial" w:cs="Arial"/>
                <w:szCs w:val="22"/>
              </w:rPr>
              <w:t xml:space="preserve">pecialist </w:t>
            </w:r>
            <w:r w:rsidR="00C7000A">
              <w:rPr>
                <w:rFonts w:ascii="Arial" w:hAnsi="Arial" w:cs="Arial"/>
                <w:szCs w:val="22"/>
              </w:rPr>
              <w:t>homelessness</w:t>
            </w:r>
            <w:r w:rsidR="00BF67C0">
              <w:rPr>
                <w:rFonts w:ascii="Arial" w:hAnsi="Arial" w:cs="Arial"/>
                <w:szCs w:val="22"/>
              </w:rPr>
              <w:t xml:space="preserve"> services</w:t>
            </w:r>
            <w:r w:rsidR="00C7000A">
              <w:rPr>
                <w:rFonts w:ascii="Arial" w:hAnsi="Arial" w:cs="Arial"/>
                <w:szCs w:val="22"/>
              </w:rPr>
              <w:t xml:space="preserve"> data to answer</w:t>
            </w:r>
            <w:r w:rsidR="00BF67C0">
              <w:rPr>
                <w:rFonts w:ascii="Arial" w:hAnsi="Arial" w:cs="Arial"/>
                <w:szCs w:val="22"/>
              </w:rPr>
              <w:t xml:space="preserve"> a range of</w:t>
            </w:r>
            <w:r w:rsidR="00C7000A">
              <w:rPr>
                <w:rFonts w:ascii="Arial" w:hAnsi="Arial" w:cs="Arial"/>
                <w:szCs w:val="22"/>
              </w:rPr>
              <w:t xml:space="preserve"> </w:t>
            </w:r>
            <w:r w:rsidR="00E71881">
              <w:rPr>
                <w:rFonts w:ascii="Arial" w:hAnsi="Arial" w:cs="Arial"/>
                <w:szCs w:val="22"/>
              </w:rPr>
              <w:t xml:space="preserve">exploratory </w:t>
            </w:r>
            <w:r w:rsidR="00C7000A">
              <w:rPr>
                <w:rFonts w:ascii="Arial" w:hAnsi="Arial" w:cs="Arial"/>
                <w:szCs w:val="22"/>
              </w:rPr>
              <w:t>key questions</w:t>
            </w:r>
            <w:r w:rsidR="00BF67C0">
              <w:rPr>
                <w:rFonts w:ascii="Arial" w:hAnsi="Arial" w:cs="Arial"/>
                <w:szCs w:val="22"/>
              </w:rPr>
              <w:t>. These would</w:t>
            </w:r>
            <w:r w:rsidR="00C7000A">
              <w:rPr>
                <w:rFonts w:ascii="Arial" w:hAnsi="Arial" w:cs="Arial"/>
                <w:szCs w:val="22"/>
              </w:rPr>
              <w:t xml:space="preserve"> </w:t>
            </w:r>
            <w:r w:rsidR="00BF67C0">
              <w:rPr>
                <w:rFonts w:ascii="Arial" w:hAnsi="Arial" w:cs="Arial"/>
                <w:szCs w:val="22"/>
              </w:rPr>
              <w:t>include key issues such as</w:t>
            </w:r>
            <w:r w:rsidR="00C7000A">
              <w:rPr>
                <w:rFonts w:ascii="Arial" w:hAnsi="Arial" w:cs="Arial"/>
                <w:szCs w:val="22"/>
              </w:rPr>
              <w:t>:</w:t>
            </w:r>
          </w:p>
          <w:p w:rsidR="00D2104D" w:rsidRDefault="00092879" w:rsidP="00D2104D">
            <w:pPr>
              <w:pStyle w:val="Bullet1"/>
              <w:numPr>
                <w:ilvl w:val="0"/>
                <w:numId w:val="10"/>
              </w:numPr>
              <w:rPr>
                <w:rFonts w:ascii="Arial" w:hAnsi="Arial" w:cs="Arial"/>
                <w:szCs w:val="22"/>
              </w:rPr>
            </w:pPr>
            <w:r>
              <w:rPr>
                <w:rFonts w:ascii="Arial" w:hAnsi="Arial" w:cs="Arial"/>
                <w:szCs w:val="22"/>
              </w:rPr>
              <w:t xml:space="preserve">What are the </w:t>
            </w:r>
            <w:r w:rsidR="00D2104D">
              <w:rPr>
                <w:rFonts w:ascii="Arial" w:hAnsi="Arial" w:cs="Arial"/>
                <w:szCs w:val="22"/>
              </w:rPr>
              <w:t>demographic</w:t>
            </w:r>
            <w:r>
              <w:rPr>
                <w:rFonts w:ascii="Arial" w:hAnsi="Arial" w:cs="Arial"/>
                <w:szCs w:val="22"/>
              </w:rPr>
              <w:t>s</w:t>
            </w:r>
            <w:r w:rsidR="00D2104D">
              <w:rPr>
                <w:rFonts w:ascii="Arial" w:hAnsi="Arial" w:cs="Arial"/>
                <w:szCs w:val="22"/>
              </w:rPr>
              <w:t xml:space="preserve"> and </w:t>
            </w:r>
            <w:r>
              <w:rPr>
                <w:rFonts w:ascii="Arial" w:hAnsi="Arial" w:cs="Arial"/>
                <w:szCs w:val="22"/>
              </w:rPr>
              <w:t xml:space="preserve">key </w:t>
            </w:r>
            <w:r w:rsidR="00D2104D">
              <w:rPr>
                <w:rFonts w:ascii="Arial" w:hAnsi="Arial" w:cs="Arial"/>
                <w:szCs w:val="22"/>
              </w:rPr>
              <w:t xml:space="preserve">characteristics of young people who are </w:t>
            </w:r>
            <w:r w:rsidR="00877DE1">
              <w:rPr>
                <w:rFonts w:ascii="Arial" w:hAnsi="Arial" w:cs="Arial"/>
                <w:szCs w:val="22"/>
              </w:rPr>
              <w:t xml:space="preserve">identified </w:t>
            </w:r>
            <w:r w:rsidR="00D2104D">
              <w:rPr>
                <w:rFonts w:ascii="Arial" w:hAnsi="Arial" w:cs="Arial"/>
                <w:szCs w:val="22"/>
              </w:rPr>
              <w:t xml:space="preserve">in both </w:t>
            </w:r>
            <w:r w:rsidR="00D2104D" w:rsidRPr="00D2104D">
              <w:rPr>
                <w:rFonts w:ascii="Arial" w:hAnsi="Arial" w:cs="Arial"/>
                <w:szCs w:val="22"/>
              </w:rPr>
              <w:t xml:space="preserve">Specialist Homelessness Services and </w:t>
            </w:r>
            <w:r w:rsidR="007E5C85">
              <w:rPr>
                <w:rFonts w:ascii="Arial" w:hAnsi="Arial" w:cs="Arial"/>
                <w:szCs w:val="22"/>
              </w:rPr>
              <w:t>youth</w:t>
            </w:r>
            <w:r w:rsidR="00D2104D" w:rsidRPr="00D2104D">
              <w:rPr>
                <w:rFonts w:ascii="Arial" w:hAnsi="Arial" w:cs="Arial"/>
                <w:szCs w:val="22"/>
              </w:rPr>
              <w:t xml:space="preserve"> justice systems in Australia</w:t>
            </w:r>
            <w:r>
              <w:rPr>
                <w:rFonts w:ascii="Arial" w:hAnsi="Arial" w:cs="Arial"/>
                <w:szCs w:val="22"/>
              </w:rPr>
              <w:t>?</w:t>
            </w:r>
            <w:r w:rsidR="00D2104D">
              <w:rPr>
                <w:rFonts w:ascii="Arial" w:hAnsi="Arial" w:cs="Arial"/>
                <w:szCs w:val="22"/>
              </w:rPr>
              <w:t xml:space="preserve">  </w:t>
            </w:r>
          </w:p>
          <w:p w:rsidR="00AD6EBD" w:rsidRDefault="00C7000A" w:rsidP="00D21F5C">
            <w:pPr>
              <w:pStyle w:val="Bullet1"/>
              <w:numPr>
                <w:ilvl w:val="0"/>
                <w:numId w:val="10"/>
              </w:numPr>
              <w:rPr>
                <w:rFonts w:ascii="Arial" w:hAnsi="Arial" w:cs="Arial"/>
                <w:szCs w:val="22"/>
              </w:rPr>
            </w:pPr>
            <w:r>
              <w:rPr>
                <w:rFonts w:ascii="Arial" w:hAnsi="Arial" w:cs="Arial"/>
                <w:szCs w:val="22"/>
              </w:rPr>
              <w:t>Are young people under youth justice supervision at greater risk of homelessness</w:t>
            </w:r>
            <w:r w:rsidR="003B3443">
              <w:rPr>
                <w:rFonts w:ascii="Arial" w:hAnsi="Arial" w:cs="Arial"/>
                <w:szCs w:val="22"/>
              </w:rPr>
              <w:t xml:space="preserve"> than other young people</w:t>
            </w:r>
            <w:r>
              <w:rPr>
                <w:rFonts w:ascii="Arial" w:hAnsi="Arial" w:cs="Arial"/>
                <w:szCs w:val="22"/>
              </w:rPr>
              <w:t>, and is this more significant for certain population groups</w:t>
            </w:r>
            <w:r w:rsidR="00D21F5C">
              <w:rPr>
                <w:rFonts w:ascii="Arial" w:hAnsi="Arial" w:cs="Arial"/>
                <w:szCs w:val="22"/>
              </w:rPr>
              <w:t xml:space="preserve"> </w:t>
            </w:r>
            <w:r w:rsidR="00D21F5C" w:rsidRPr="00D21F5C">
              <w:rPr>
                <w:rFonts w:ascii="Arial" w:hAnsi="Arial" w:cs="Arial"/>
                <w:szCs w:val="22"/>
              </w:rPr>
              <w:t xml:space="preserve">e.g. women, Aboriginal and Torres Strait Islander people, </w:t>
            </w:r>
            <w:r w:rsidR="00A573BF">
              <w:rPr>
                <w:rFonts w:ascii="Arial" w:hAnsi="Arial" w:cs="Arial"/>
                <w:szCs w:val="22"/>
              </w:rPr>
              <w:t>and/</w:t>
            </w:r>
            <w:r w:rsidR="00D21F5C">
              <w:rPr>
                <w:rFonts w:ascii="Arial" w:hAnsi="Arial" w:cs="Arial"/>
                <w:szCs w:val="22"/>
              </w:rPr>
              <w:t>or in relation to where people live e</w:t>
            </w:r>
            <w:r w:rsidR="00CA38E2">
              <w:rPr>
                <w:rFonts w:ascii="Arial" w:hAnsi="Arial" w:cs="Arial"/>
                <w:szCs w:val="22"/>
              </w:rPr>
              <w:t>.</w:t>
            </w:r>
            <w:r w:rsidR="00D21F5C">
              <w:rPr>
                <w:rFonts w:ascii="Arial" w:hAnsi="Arial" w:cs="Arial"/>
                <w:szCs w:val="22"/>
              </w:rPr>
              <w:t>g.</w:t>
            </w:r>
            <w:r w:rsidR="00CA38E2">
              <w:rPr>
                <w:rFonts w:ascii="Arial" w:hAnsi="Arial" w:cs="Arial"/>
                <w:szCs w:val="22"/>
              </w:rPr>
              <w:t xml:space="preserve"> State or Territory, Remoteness.</w:t>
            </w:r>
            <w:bookmarkStart w:id="0" w:name="_GoBack"/>
            <w:bookmarkEnd w:id="0"/>
          </w:p>
          <w:p w:rsidR="00E82B2F" w:rsidRDefault="00E82B2F" w:rsidP="00E82B2F">
            <w:pPr>
              <w:pStyle w:val="Bullet1"/>
              <w:numPr>
                <w:ilvl w:val="0"/>
                <w:numId w:val="10"/>
              </w:numPr>
              <w:rPr>
                <w:rFonts w:ascii="Arial" w:hAnsi="Arial" w:cs="Arial"/>
                <w:szCs w:val="22"/>
              </w:rPr>
            </w:pPr>
            <w:r w:rsidRPr="00E82B2F">
              <w:rPr>
                <w:rFonts w:ascii="Arial" w:hAnsi="Arial" w:cs="Arial"/>
                <w:szCs w:val="22"/>
              </w:rPr>
              <w:t>Are young people in particular parts of the youth justice system (e.g. sentenced detention) at a greater risk than other</w:t>
            </w:r>
            <w:r w:rsidR="00EF0159">
              <w:rPr>
                <w:rFonts w:ascii="Arial" w:hAnsi="Arial" w:cs="Arial"/>
                <w:szCs w:val="22"/>
              </w:rPr>
              <w:t xml:space="preserve"> </w:t>
            </w:r>
            <w:r w:rsidRPr="00E82B2F">
              <w:rPr>
                <w:rFonts w:ascii="Arial" w:hAnsi="Arial" w:cs="Arial"/>
                <w:szCs w:val="22"/>
              </w:rPr>
              <w:t xml:space="preserve">young people in the youth </w:t>
            </w:r>
            <w:r w:rsidRPr="00E82B2F">
              <w:rPr>
                <w:rFonts w:ascii="Arial" w:hAnsi="Arial" w:cs="Arial"/>
                <w:szCs w:val="22"/>
              </w:rPr>
              <w:lastRenderedPageBreak/>
              <w:t xml:space="preserve">justice system </w:t>
            </w:r>
            <w:r w:rsidR="00EF0159">
              <w:rPr>
                <w:rFonts w:ascii="Arial" w:hAnsi="Arial" w:cs="Arial"/>
                <w:szCs w:val="22"/>
              </w:rPr>
              <w:t xml:space="preserve">of </w:t>
            </w:r>
            <w:r w:rsidRPr="00E82B2F">
              <w:rPr>
                <w:rFonts w:ascii="Arial" w:hAnsi="Arial" w:cs="Arial"/>
                <w:szCs w:val="22"/>
              </w:rPr>
              <w:t xml:space="preserve">experiencing homelessness?  </w:t>
            </w:r>
          </w:p>
          <w:p w:rsidR="00D53E81" w:rsidRDefault="00E71881" w:rsidP="00A573BF">
            <w:pPr>
              <w:pStyle w:val="Bullet1"/>
              <w:numPr>
                <w:ilvl w:val="0"/>
                <w:numId w:val="10"/>
              </w:numPr>
              <w:rPr>
                <w:rFonts w:ascii="Arial" w:hAnsi="Arial" w:cs="Arial"/>
                <w:szCs w:val="22"/>
              </w:rPr>
            </w:pPr>
            <w:r>
              <w:rPr>
                <w:rFonts w:ascii="Arial" w:hAnsi="Arial" w:cs="Arial"/>
                <w:szCs w:val="22"/>
              </w:rPr>
              <w:t xml:space="preserve">What are the most common pathways </w:t>
            </w:r>
            <w:r w:rsidR="00A573BF">
              <w:rPr>
                <w:rFonts w:ascii="Arial" w:hAnsi="Arial" w:cs="Arial"/>
                <w:szCs w:val="22"/>
              </w:rPr>
              <w:t xml:space="preserve">for </w:t>
            </w:r>
            <w:r w:rsidR="00A573BF" w:rsidRPr="00A573BF">
              <w:rPr>
                <w:rFonts w:ascii="Arial" w:hAnsi="Arial" w:cs="Arial"/>
                <w:szCs w:val="22"/>
              </w:rPr>
              <w:t>young people</w:t>
            </w:r>
            <w:r w:rsidR="00A573BF">
              <w:rPr>
                <w:rFonts w:ascii="Arial" w:hAnsi="Arial" w:cs="Arial"/>
                <w:szCs w:val="22"/>
              </w:rPr>
              <w:t>’s</w:t>
            </w:r>
            <w:r w:rsidR="00A573BF" w:rsidRPr="00A573BF">
              <w:rPr>
                <w:rFonts w:ascii="Arial" w:hAnsi="Arial" w:cs="Arial"/>
                <w:szCs w:val="22"/>
              </w:rPr>
              <w:t xml:space="preserve"> </w:t>
            </w:r>
            <w:r w:rsidR="00A573BF">
              <w:rPr>
                <w:rFonts w:ascii="Arial" w:hAnsi="Arial" w:cs="Arial"/>
                <w:szCs w:val="22"/>
              </w:rPr>
              <w:t xml:space="preserve">movement between </w:t>
            </w:r>
            <w:r>
              <w:rPr>
                <w:rFonts w:ascii="Arial" w:hAnsi="Arial" w:cs="Arial"/>
                <w:szCs w:val="22"/>
              </w:rPr>
              <w:t>youth justice supervision</w:t>
            </w:r>
            <w:r w:rsidR="00781EF0">
              <w:rPr>
                <w:rFonts w:ascii="Arial" w:hAnsi="Arial" w:cs="Arial"/>
                <w:szCs w:val="22"/>
              </w:rPr>
              <w:t xml:space="preserve"> </w:t>
            </w:r>
            <w:r w:rsidR="00A573BF">
              <w:rPr>
                <w:rFonts w:ascii="Arial" w:hAnsi="Arial" w:cs="Arial"/>
                <w:szCs w:val="22"/>
              </w:rPr>
              <w:t xml:space="preserve">and </w:t>
            </w:r>
            <w:r w:rsidR="00A573BF" w:rsidRPr="00A573BF">
              <w:rPr>
                <w:rFonts w:ascii="Arial" w:hAnsi="Arial" w:cs="Arial"/>
                <w:szCs w:val="22"/>
              </w:rPr>
              <w:t>Specialist Homelessness Services</w:t>
            </w:r>
            <w:r w:rsidR="00A573BF">
              <w:rPr>
                <w:rFonts w:ascii="Arial" w:hAnsi="Arial" w:cs="Arial"/>
                <w:szCs w:val="22"/>
              </w:rPr>
              <w:t xml:space="preserve">? Are they receiving services from </w:t>
            </w:r>
            <w:r w:rsidR="00BF67C0">
              <w:rPr>
                <w:rFonts w:ascii="Arial" w:hAnsi="Arial" w:cs="Arial"/>
                <w:szCs w:val="22"/>
              </w:rPr>
              <w:t>specialist</w:t>
            </w:r>
            <w:r w:rsidR="00781EF0">
              <w:rPr>
                <w:rFonts w:ascii="Arial" w:hAnsi="Arial" w:cs="Arial"/>
                <w:szCs w:val="22"/>
              </w:rPr>
              <w:t xml:space="preserve"> homelessness</w:t>
            </w:r>
            <w:r w:rsidR="00BF67C0">
              <w:rPr>
                <w:rFonts w:ascii="Arial" w:hAnsi="Arial" w:cs="Arial"/>
                <w:szCs w:val="22"/>
              </w:rPr>
              <w:t xml:space="preserve"> services</w:t>
            </w:r>
            <w:r w:rsidR="00A573BF">
              <w:rPr>
                <w:rFonts w:ascii="Arial" w:hAnsi="Arial" w:cs="Arial"/>
                <w:szCs w:val="22"/>
              </w:rPr>
              <w:t xml:space="preserve"> after they complete </w:t>
            </w:r>
            <w:r w:rsidR="00A573BF" w:rsidRPr="00A573BF">
              <w:rPr>
                <w:rFonts w:ascii="Arial" w:hAnsi="Arial" w:cs="Arial"/>
                <w:szCs w:val="22"/>
              </w:rPr>
              <w:t>youth justice supervision</w:t>
            </w:r>
            <w:r w:rsidR="00A573BF">
              <w:rPr>
                <w:rFonts w:ascii="Arial" w:hAnsi="Arial" w:cs="Arial"/>
                <w:szCs w:val="22"/>
              </w:rPr>
              <w:t xml:space="preserve"> or before?</w:t>
            </w:r>
            <w:r w:rsidR="002635A5">
              <w:rPr>
                <w:rFonts w:ascii="Arial" w:hAnsi="Arial" w:cs="Arial"/>
                <w:szCs w:val="22"/>
              </w:rPr>
              <w:t>)</w:t>
            </w:r>
            <w:r>
              <w:rPr>
                <w:rFonts w:ascii="Arial" w:hAnsi="Arial" w:cs="Arial"/>
                <w:szCs w:val="22"/>
              </w:rPr>
              <w:t>?</w:t>
            </w:r>
          </w:p>
          <w:p w:rsidR="00C13023" w:rsidRDefault="00D53E81" w:rsidP="00D53E81">
            <w:pPr>
              <w:pStyle w:val="Bullet1"/>
              <w:numPr>
                <w:ilvl w:val="0"/>
                <w:numId w:val="10"/>
              </w:numPr>
              <w:rPr>
                <w:rFonts w:ascii="Arial" w:hAnsi="Arial" w:cs="Arial"/>
                <w:szCs w:val="22"/>
              </w:rPr>
            </w:pPr>
            <w:r>
              <w:rPr>
                <w:rFonts w:ascii="Arial" w:hAnsi="Arial" w:cs="Arial"/>
                <w:szCs w:val="22"/>
              </w:rPr>
              <w:t xml:space="preserve">To what extent do these young people have repeat periods of youth justice supervision and </w:t>
            </w:r>
            <w:r w:rsidR="00E82B2F">
              <w:rPr>
                <w:rFonts w:ascii="Arial" w:hAnsi="Arial" w:cs="Arial"/>
                <w:szCs w:val="22"/>
              </w:rPr>
              <w:t xml:space="preserve">repeat </w:t>
            </w:r>
            <w:r>
              <w:rPr>
                <w:rFonts w:ascii="Arial" w:hAnsi="Arial" w:cs="Arial"/>
                <w:szCs w:val="22"/>
              </w:rPr>
              <w:t>need</w:t>
            </w:r>
            <w:r w:rsidR="00E82B2F">
              <w:rPr>
                <w:rFonts w:ascii="Arial" w:hAnsi="Arial" w:cs="Arial"/>
                <w:szCs w:val="22"/>
              </w:rPr>
              <w:t>s</w:t>
            </w:r>
            <w:r>
              <w:rPr>
                <w:rFonts w:ascii="Arial" w:hAnsi="Arial" w:cs="Arial"/>
                <w:szCs w:val="22"/>
              </w:rPr>
              <w:t xml:space="preserve"> for </w:t>
            </w:r>
            <w:r w:rsidRPr="00D53E81">
              <w:rPr>
                <w:rFonts w:ascii="Arial" w:hAnsi="Arial" w:cs="Arial"/>
                <w:szCs w:val="22"/>
              </w:rPr>
              <w:t>Specialist Homelessness Services</w:t>
            </w:r>
            <w:r>
              <w:rPr>
                <w:rFonts w:ascii="Arial" w:hAnsi="Arial" w:cs="Arial"/>
                <w:szCs w:val="22"/>
              </w:rPr>
              <w:t>?</w:t>
            </w:r>
          </w:p>
          <w:p w:rsidR="00AD6EBD" w:rsidRDefault="00C13023" w:rsidP="00C13023">
            <w:pPr>
              <w:pStyle w:val="Bullet1"/>
              <w:numPr>
                <w:ilvl w:val="0"/>
                <w:numId w:val="10"/>
              </w:numPr>
              <w:rPr>
                <w:rFonts w:ascii="Arial" w:hAnsi="Arial" w:cs="Arial"/>
                <w:szCs w:val="22"/>
              </w:rPr>
            </w:pPr>
            <w:r>
              <w:rPr>
                <w:rFonts w:ascii="Arial" w:hAnsi="Arial" w:cs="Arial"/>
                <w:szCs w:val="22"/>
              </w:rPr>
              <w:t xml:space="preserve">What </w:t>
            </w:r>
            <w:r w:rsidR="00304911">
              <w:rPr>
                <w:rFonts w:ascii="Arial" w:hAnsi="Arial" w:cs="Arial"/>
                <w:szCs w:val="22"/>
              </w:rPr>
              <w:t xml:space="preserve">support, </w:t>
            </w:r>
            <w:r>
              <w:rPr>
                <w:rFonts w:ascii="Arial" w:hAnsi="Arial" w:cs="Arial"/>
                <w:szCs w:val="22"/>
              </w:rPr>
              <w:t xml:space="preserve">services and assistance are provided by </w:t>
            </w:r>
            <w:r w:rsidRPr="00C13023">
              <w:rPr>
                <w:rFonts w:ascii="Arial" w:hAnsi="Arial" w:cs="Arial"/>
                <w:szCs w:val="22"/>
              </w:rPr>
              <w:t xml:space="preserve">Specialist Homelessness Services </w:t>
            </w:r>
            <w:r>
              <w:rPr>
                <w:rFonts w:ascii="Arial" w:hAnsi="Arial" w:cs="Arial"/>
                <w:szCs w:val="22"/>
              </w:rPr>
              <w:t xml:space="preserve">to young people who have been in both </w:t>
            </w:r>
            <w:r w:rsidRPr="00C13023">
              <w:rPr>
                <w:rFonts w:ascii="Arial" w:hAnsi="Arial" w:cs="Arial"/>
                <w:szCs w:val="22"/>
              </w:rPr>
              <w:t>Specialist Homelessness Services and juvenile justice systems</w:t>
            </w:r>
            <w:r>
              <w:rPr>
                <w:rFonts w:ascii="Arial" w:hAnsi="Arial" w:cs="Arial"/>
                <w:szCs w:val="22"/>
              </w:rPr>
              <w:t xml:space="preserve">? </w:t>
            </w:r>
            <w:r w:rsidR="00D53E81">
              <w:rPr>
                <w:rFonts w:ascii="Arial" w:hAnsi="Arial" w:cs="Arial"/>
                <w:szCs w:val="22"/>
              </w:rPr>
              <w:t xml:space="preserve">  </w:t>
            </w:r>
          </w:p>
          <w:p w:rsidR="00E15827" w:rsidRDefault="00E15827" w:rsidP="002635A5">
            <w:pPr>
              <w:pStyle w:val="Bullet1"/>
              <w:numPr>
                <w:ilvl w:val="0"/>
                <w:numId w:val="10"/>
              </w:numPr>
              <w:rPr>
                <w:rFonts w:ascii="Arial" w:hAnsi="Arial" w:cs="Arial"/>
                <w:szCs w:val="22"/>
              </w:rPr>
            </w:pPr>
            <w:r>
              <w:rPr>
                <w:rFonts w:ascii="Arial" w:hAnsi="Arial" w:cs="Arial"/>
                <w:szCs w:val="22"/>
              </w:rPr>
              <w:t xml:space="preserve">Is </w:t>
            </w:r>
            <w:r w:rsidR="00BF67C0">
              <w:rPr>
                <w:rFonts w:ascii="Arial" w:hAnsi="Arial" w:cs="Arial"/>
                <w:szCs w:val="22"/>
              </w:rPr>
              <w:t xml:space="preserve">involvement in the youth justice system </w:t>
            </w:r>
            <w:r>
              <w:rPr>
                <w:rFonts w:ascii="Arial" w:hAnsi="Arial" w:cs="Arial"/>
                <w:szCs w:val="22"/>
              </w:rPr>
              <w:t xml:space="preserve">a </w:t>
            </w:r>
            <w:r w:rsidR="00BF67C0">
              <w:rPr>
                <w:rFonts w:ascii="Arial" w:hAnsi="Arial" w:cs="Arial"/>
                <w:szCs w:val="22"/>
              </w:rPr>
              <w:t xml:space="preserve">risk factor for </w:t>
            </w:r>
            <w:r>
              <w:rPr>
                <w:rFonts w:ascii="Arial" w:hAnsi="Arial" w:cs="Arial"/>
                <w:szCs w:val="22"/>
              </w:rPr>
              <w:t>homelessness or vice versa</w:t>
            </w:r>
            <w:r w:rsidR="00BF67C0">
              <w:rPr>
                <w:rFonts w:ascii="Arial" w:hAnsi="Arial" w:cs="Arial"/>
                <w:szCs w:val="22"/>
              </w:rPr>
              <w:t>?</w:t>
            </w:r>
            <w:r>
              <w:rPr>
                <w:rFonts w:ascii="Arial" w:hAnsi="Arial" w:cs="Arial"/>
                <w:szCs w:val="22"/>
              </w:rPr>
              <w:t xml:space="preserve"> </w:t>
            </w:r>
            <w:r w:rsidR="00BF67C0">
              <w:rPr>
                <w:rFonts w:ascii="Arial" w:hAnsi="Arial" w:cs="Arial"/>
                <w:szCs w:val="22"/>
              </w:rPr>
              <w:t>W</w:t>
            </w:r>
            <w:r>
              <w:rPr>
                <w:rFonts w:ascii="Arial" w:hAnsi="Arial" w:cs="Arial"/>
                <w:szCs w:val="22"/>
              </w:rPr>
              <w:t xml:space="preserve">hat </w:t>
            </w:r>
            <w:r w:rsidR="00445C3A">
              <w:rPr>
                <w:rFonts w:ascii="Arial" w:hAnsi="Arial" w:cs="Arial"/>
                <w:szCs w:val="22"/>
              </w:rPr>
              <w:t>are the characteristics of the young people who follow these paths?</w:t>
            </w:r>
          </w:p>
          <w:p w:rsidR="007C00D5" w:rsidRPr="00391DCE" w:rsidRDefault="00AD6EBD" w:rsidP="00490C58">
            <w:pPr>
              <w:pStyle w:val="AIHWbodytext"/>
              <w:rPr>
                <w:szCs w:val="22"/>
              </w:rPr>
            </w:pPr>
            <w:r w:rsidRPr="00AD6EBD">
              <w:rPr>
                <w:rFonts w:ascii="Arial" w:hAnsi="Arial" w:cs="Arial"/>
                <w:szCs w:val="22"/>
              </w:rPr>
              <w:t xml:space="preserve">The main </w:t>
            </w:r>
            <w:r w:rsidRPr="00AD6EBD">
              <w:rPr>
                <w:rFonts w:ascii="Arial" w:hAnsi="Arial" w:cs="Arial"/>
                <w:szCs w:val="22"/>
                <w:u w:val="single"/>
              </w:rPr>
              <w:t>output</w:t>
            </w:r>
            <w:r w:rsidR="00C7000A">
              <w:rPr>
                <w:rFonts w:ascii="Arial" w:hAnsi="Arial" w:cs="Arial"/>
                <w:szCs w:val="22"/>
              </w:rPr>
              <w:t xml:space="preserve"> would be </w:t>
            </w:r>
            <w:r w:rsidRPr="00AD6EBD">
              <w:rPr>
                <w:rFonts w:ascii="Arial" w:hAnsi="Arial" w:cs="Arial"/>
                <w:szCs w:val="22"/>
              </w:rPr>
              <w:t xml:space="preserve">a report detailing the </w:t>
            </w:r>
            <w:r w:rsidR="00C7000A">
              <w:rPr>
                <w:rFonts w:ascii="Arial" w:hAnsi="Arial" w:cs="Arial"/>
                <w:szCs w:val="22"/>
              </w:rPr>
              <w:t>results of the analysis</w:t>
            </w:r>
            <w:r w:rsidR="00BF67C0">
              <w:rPr>
                <w:rFonts w:ascii="Arial" w:hAnsi="Arial" w:cs="Arial"/>
                <w:szCs w:val="22"/>
              </w:rPr>
              <w:t>, and recommendations for future analytical work in this</w:t>
            </w:r>
            <w:r w:rsidR="00490C58">
              <w:rPr>
                <w:rFonts w:ascii="Arial" w:hAnsi="Arial" w:cs="Arial"/>
                <w:szCs w:val="22"/>
              </w:rPr>
              <w:t xml:space="preserve"> </w:t>
            </w:r>
            <w:r w:rsidR="008E00A8">
              <w:rPr>
                <w:rFonts w:ascii="Arial" w:hAnsi="Arial" w:cs="Arial"/>
                <w:szCs w:val="22"/>
              </w:rPr>
              <w:t>area</w:t>
            </w:r>
            <w:r w:rsidR="00490C58">
              <w:rPr>
                <w:rFonts w:ascii="Arial" w:hAnsi="Arial" w:cs="Arial"/>
                <w:szCs w:val="22"/>
              </w:rPr>
              <w:t>.</w:t>
            </w:r>
            <w:r w:rsidR="00BF67C0">
              <w:rPr>
                <w:rFonts w:ascii="Arial" w:hAnsi="Arial" w:cs="Arial"/>
                <w:szCs w:val="22"/>
              </w:rPr>
              <w:t xml:space="preserve"> </w:t>
            </w:r>
          </w:p>
        </w:tc>
      </w:tr>
      <w:tr w:rsidR="007C00D5" w:rsidRPr="000D667C" w:rsidTr="00C41D17">
        <w:tblPrEx>
          <w:tblLook w:val="01E0"/>
        </w:tblPrEx>
        <w:tc>
          <w:tcPr>
            <w:tcW w:w="567" w:type="dxa"/>
          </w:tcPr>
          <w:p w:rsidR="007C00D5" w:rsidRPr="000D667C" w:rsidRDefault="007C00D5" w:rsidP="008946EF">
            <w:pPr>
              <w:spacing w:before="120"/>
              <w:rPr>
                <w:szCs w:val="22"/>
              </w:rPr>
            </w:pPr>
            <w:r w:rsidRPr="000D667C">
              <w:rPr>
                <w:sz w:val="22"/>
                <w:szCs w:val="22"/>
              </w:rPr>
              <w:lastRenderedPageBreak/>
              <w:t>4.</w:t>
            </w:r>
          </w:p>
        </w:tc>
        <w:tc>
          <w:tcPr>
            <w:tcW w:w="8505" w:type="dxa"/>
          </w:tcPr>
          <w:p w:rsidR="007C00D5" w:rsidRPr="00391DCE" w:rsidRDefault="007E0343" w:rsidP="008946EF">
            <w:pPr>
              <w:spacing w:before="120"/>
              <w:rPr>
                <w:szCs w:val="22"/>
              </w:rPr>
            </w:pPr>
            <w:r w:rsidRPr="00391DCE">
              <w:rPr>
                <w:sz w:val="22"/>
                <w:szCs w:val="22"/>
              </w:rPr>
              <w:t>Benefits to be derived from the project</w:t>
            </w:r>
          </w:p>
          <w:p w:rsidR="007E0343" w:rsidRPr="00391DCE" w:rsidRDefault="007E0343" w:rsidP="00C41D17">
            <w:pPr>
              <w:rPr>
                <w:szCs w:val="22"/>
              </w:rPr>
            </w:pPr>
          </w:p>
          <w:p w:rsidR="008C55AD" w:rsidRDefault="002635A5" w:rsidP="002635A5">
            <w:pPr>
              <w:pStyle w:val="AIHWbodytext"/>
              <w:rPr>
                <w:rFonts w:ascii="Arial" w:hAnsi="Arial" w:cs="Arial"/>
                <w:szCs w:val="22"/>
              </w:rPr>
            </w:pPr>
            <w:r w:rsidRPr="002635A5">
              <w:rPr>
                <w:rFonts w:ascii="Arial" w:hAnsi="Arial" w:cs="Arial"/>
                <w:szCs w:val="22"/>
              </w:rPr>
              <w:t>The project will</w:t>
            </w:r>
            <w:r w:rsidR="00BF67C0">
              <w:rPr>
                <w:rFonts w:ascii="Arial" w:hAnsi="Arial" w:cs="Arial"/>
                <w:szCs w:val="22"/>
              </w:rPr>
              <w:t xml:space="preserve"> provide a unique insight into cross-sectoral involvement in relation to young people that appear across the two systems.</w:t>
            </w:r>
            <w:r w:rsidR="008C55AD">
              <w:rPr>
                <w:rFonts w:ascii="Arial" w:hAnsi="Arial" w:cs="Arial"/>
                <w:szCs w:val="22"/>
              </w:rPr>
              <w:t xml:space="preserve"> Earlier feasibility studies relating to this topic have only been able to access selected data from jurisdictions that were in a position to supply them. </w:t>
            </w:r>
            <w:r w:rsidR="009C08A5">
              <w:rPr>
                <w:rFonts w:ascii="Arial" w:hAnsi="Arial" w:cs="Arial"/>
                <w:szCs w:val="22"/>
              </w:rPr>
              <w:t xml:space="preserve">It will therefore be the first time that two national administrative data sets from both of these sectors will be linked together using data from comparable financial years. </w:t>
            </w:r>
            <w:r w:rsidR="007E5C85">
              <w:rPr>
                <w:rFonts w:ascii="Arial" w:hAnsi="Arial" w:cs="Arial"/>
                <w:szCs w:val="22"/>
              </w:rPr>
              <w:t xml:space="preserve">The project differs from other work in progress (such as the SA-NT linkage program) in that it has a national focus (noting that not all jurisdictions currently contribute to the JJ NMDS). </w:t>
            </w:r>
            <w:r w:rsidR="008C55AD">
              <w:rPr>
                <w:rFonts w:ascii="Arial" w:hAnsi="Arial" w:cs="Arial"/>
                <w:szCs w:val="22"/>
              </w:rPr>
              <w:t xml:space="preserve">Further to this, </w:t>
            </w:r>
            <w:r w:rsidR="009C08A5">
              <w:rPr>
                <w:rFonts w:ascii="Arial" w:hAnsi="Arial" w:cs="Arial"/>
                <w:szCs w:val="22"/>
              </w:rPr>
              <w:t>p</w:t>
            </w:r>
            <w:r w:rsidR="008C55AD">
              <w:rPr>
                <w:rFonts w:ascii="Arial" w:hAnsi="Arial" w:cs="Arial"/>
                <w:szCs w:val="22"/>
              </w:rPr>
              <w:t xml:space="preserve">rior </w:t>
            </w:r>
            <w:r w:rsidR="009C08A5">
              <w:rPr>
                <w:rFonts w:ascii="Arial" w:hAnsi="Arial" w:cs="Arial"/>
                <w:szCs w:val="22"/>
              </w:rPr>
              <w:t>work in this area</w:t>
            </w:r>
            <w:r w:rsidR="008C55AD">
              <w:rPr>
                <w:rFonts w:ascii="Arial" w:hAnsi="Arial" w:cs="Arial"/>
                <w:szCs w:val="22"/>
              </w:rPr>
              <w:t xml:space="preserve"> used data from the former Supported Accommodation Assistance Program (SAAP), which was not able to identify children as separate clients.  </w:t>
            </w:r>
          </w:p>
          <w:p w:rsidR="002635A5" w:rsidRPr="002635A5" w:rsidRDefault="009C08A5" w:rsidP="002635A5">
            <w:pPr>
              <w:pStyle w:val="AIHWbodytext"/>
              <w:rPr>
                <w:rFonts w:ascii="Arial" w:hAnsi="Arial" w:cs="Arial"/>
                <w:szCs w:val="22"/>
              </w:rPr>
            </w:pPr>
            <w:r>
              <w:rPr>
                <w:rFonts w:ascii="Arial" w:hAnsi="Arial" w:cs="Arial"/>
                <w:szCs w:val="22"/>
              </w:rPr>
              <w:t xml:space="preserve">AIHW will be </w:t>
            </w:r>
            <w:r w:rsidR="008C55AD">
              <w:rPr>
                <w:rFonts w:ascii="Arial" w:hAnsi="Arial" w:cs="Arial"/>
                <w:szCs w:val="22"/>
              </w:rPr>
              <w:t xml:space="preserve">able to draw on the full set of data from the JJ NMDS from 2000–01 to 2012–13; and the </w:t>
            </w:r>
            <w:r>
              <w:rPr>
                <w:rFonts w:ascii="Arial" w:hAnsi="Arial" w:cs="Arial"/>
                <w:szCs w:val="22"/>
              </w:rPr>
              <w:t xml:space="preserve">data from the first </w:t>
            </w:r>
            <w:r w:rsidR="008C55AD">
              <w:rPr>
                <w:rFonts w:ascii="Arial" w:hAnsi="Arial" w:cs="Arial"/>
                <w:szCs w:val="22"/>
              </w:rPr>
              <w:t>two</w:t>
            </w:r>
            <w:r>
              <w:rPr>
                <w:rFonts w:ascii="Arial" w:hAnsi="Arial" w:cs="Arial"/>
                <w:szCs w:val="22"/>
              </w:rPr>
              <w:t xml:space="preserve"> </w:t>
            </w:r>
            <w:r w:rsidR="00304911">
              <w:rPr>
                <w:rFonts w:ascii="Arial" w:hAnsi="Arial" w:cs="Arial"/>
                <w:szCs w:val="22"/>
              </w:rPr>
              <w:t xml:space="preserve">years of the SHSC </w:t>
            </w:r>
            <w:r w:rsidR="008C55AD">
              <w:rPr>
                <w:rFonts w:ascii="Arial" w:hAnsi="Arial" w:cs="Arial"/>
                <w:szCs w:val="22"/>
              </w:rPr>
              <w:t>(2011–12 and 2012–13)</w:t>
            </w:r>
            <w:r w:rsidR="007E5C85">
              <w:rPr>
                <w:rFonts w:ascii="Arial" w:hAnsi="Arial" w:cs="Arial"/>
                <w:szCs w:val="22"/>
              </w:rPr>
              <w:t xml:space="preserve"> (pending the timing of the project, 2013–14 data may also be available)</w:t>
            </w:r>
            <w:r>
              <w:rPr>
                <w:rFonts w:ascii="Arial" w:hAnsi="Arial" w:cs="Arial"/>
                <w:szCs w:val="22"/>
              </w:rPr>
              <w:t>.</w:t>
            </w:r>
            <w:r w:rsidR="008C55AD">
              <w:rPr>
                <w:rFonts w:ascii="Arial" w:hAnsi="Arial" w:cs="Arial"/>
                <w:szCs w:val="22"/>
              </w:rPr>
              <w:t xml:space="preserve"> </w:t>
            </w:r>
            <w:r>
              <w:rPr>
                <w:rFonts w:ascii="Arial" w:hAnsi="Arial" w:cs="Arial"/>
                <w:szCs w:val="22"/>
              </w:rPr>
              <w:t>The SHS</w:t>
            </w:r>
            <w:r w:rsidR="00304911">
              <w:rPr>
                <w:rFonts w:ascii="Arial" w:hAnsi="Arial" w:cs="Arial"/>
                <w:szCs w:val="22"/>
              </w:rPr>
              <w:t>C</w:t>
            </w:r>
            <w:r>
              <w:rPr>
                <w:rFonts w:ascii="Arial" w:hAnsi="Arial" w:cs="Arial"/>
                <w:szCs w:val="22"/>
              </w:rPr>
              <w:t xml:space="preserve"> can now identify children as individual clients, meaning data linkage with this new information will provide a more accurate and complete picture of cross-sector involvement than previous projects have been able to provide.</w:t>
            </w:r>
            <w:r w:rsidR="00BF67C0">
              <w:rPr>
                <w:rFonts w:ascii="Arial" w:hAnsi="Arial" w:cs="Arial"/>
                <w:szCs w:val="22"/>
              </w:rPr>
              <w:t xml:space="preserve"> </w:t>
            </w:r>
            <w:r w:rsidR="00AC1D98">
              <w:rPr>
                <w:rFonts w:ascii="Arial" w:hAnsi="Arial" w:cs="Arial"/>
                <w:szCs w:val="22"/>
              </w:rPr>
              <w:t xml:space="preserve">This is especially the case given the </w:t>
            </w:r>
            <w:r w:rsidR="00CE542F">
              <w:rPr>
                <w:rFonts w:ascii="Arial" w:hAnsi="Arial" w:cs="Arial"/>
                <w:szCs w:val="22"/>
              </w:rPr>
              <w:t xml:space="preserve">high validity rate of the statistical linkage key in both datasets. </w:t>
            </w:r>
            <w:r w:rsidR="006A4A29">
              <w:rPr>
                <w:rFonts w:ascii="Arial" w:hAnsi="Arial" w:cs="Arial"/>
                <w:szCs w:val="22"/>
              </w:rPr>
              <w:t>This linked data set will have the capacity to answer a range of policy questions at both state/territory and national level</w:t>
            </w:r>
            <w:r w:rsidR="00A95224">
              <w:rPr>
                <w:rFonts w:ascii="Arial" w:hAnsi="Arial" w:cs="Arial"/>
                <w:szCs w:val="22"/>
              </w:rPr>
              <w:t xml:space="preserve"> (see, for example, Section 3)</w:t>
            </w:r>
            <w:r w:rsidR="006A4A29">
              <w:rPr>
                <w:rFonts w:ascii="Arial" w:hAnsi="Arial" w:cs="Arial"/>
                <w:szCs w:val="22"/>
              </w:rPr>
              <w:t>. It will also:</w:t>
            </w:r>
          </w:p>
          <w:p w:rsidR="00F53B3C" w:rsidRDefault="00AD6EBD" w:rsidP="002635A5">
            <w:pPr>
              <w:pStyle w:val="AIHWbodytext"/>
              <w:numPr>
                <w:ilvl w:val="0"/>
                <w:numId w:val="11"/>
              </w:numPr>
              <w:rPr>
                <w:rFonts w:ascii="Arial" w:hAnsi="Arial" w:cs="Arial"/>
                <w:szCs w:val="22"/>
              </w:rPr>
            </w:pPr>
            <w:r w:rsidRPr="002635A5">
              <w:rPr>
                <w:rFonts w:ascii="Arial" w:hAnsi="Arial" w:cs="Arial"/>
                <w:szCs w:val="22"/>
              </w:rPr>
              <w:t xml:space="preserve">Provide valuable information </w:t>
            </w:r>
            <w:r w:rsidR="009E2D3B">
              <w:rPr>
                <w:rFonts w:ascii="Arial" w:hAnsi="Arial" w:cs="Arial"/>
                <w:szCs w:val="22"/>
              </w:rPr>
              <w:t>about a highly disadvantaged group of young people</w:t>
            </w:r>
            <w:r w:rsidR="00F53B3C">
              <w:rPr>
                <w:rFonts w:ascii="Arial" w:hAnsi="Arial" w:cs="Arial"/>
                <w:szCs w:val="22"/>
              </w:rPr>
              <w:t>.</w:t>
            </w:r>
          </w:p>
          <w:p w:rsidR="00AD6EBD" w:rsidRPr="002635A5" w:rsidRDefault="00F53B3C" w:rsidP="002635A5">
            <w:pPr>
              <w:pStyle w:val="AIHWbodytext"/>
              <w:numPr>
                <w:ilvl w:val="0"/>
                <w:numId w:val="11"/>
              </w:numPr>
              <w:rPr>
                <w:rFonts w:ascii="Arial" w:hAnsi="Arial" w:cs="Arial"/>
                <w:szCs w:val="22"/>
              </w:rPr>
            </w:pPr>
            <w:r>
              <w:rPr>
                <w:rFonts w:ascii="Arial" w:hAnsi="Arial" w:cs="Arial"/>
                <w:szCs w:val="22"/>
              </w:rPr>
              <w:t xml:space="preserve">This information can be </w:t>
            </w:r>
            <w:r w:rsidR="009E2D3B">
              <w:rPr>
                <w:rFonts w:ascii="Arial" w:hAnsi="Arial" w:cs="Arial"/>
                <w:szCs w:val="22"/>
              </w:rPr>
              <w:t xml:space="preserve">used </w:t>
            </w:r>
            <w:r>
              <w:rPr>
                <w:rFonts w:ascii="Arial" w:hAnsi="Arial" w:cs="Arial"/>
                <w:szCs w:val="22"/>
              </w:rPr>
              <w:t xml:space="preserve">for </w:t>
            </w:r>
            <w:r w:rsidR="00AD6EBD" w:rsidRPr="002635A5">
              <w:rPr>
                <w:rFonts w:ascii="Arial" w:hAnsi="Arial" w:cs="Arial"/>
                <w:szCs w:val="22"/>
              </w:rPr>
              <w:t>improv</w:t>
            </w:r>
            <w:r>
              <w:rPr>
                <w:rFonts w:ascii="Arial" w:hAnsi="Arial" w:cs="Arial"/>
                <w:szCs w:val="22"/>
              </w:rPr>
              <w:t>ing</w:t>
            </w:r>
            <w:r w:rsidR="007E5C85">
              <w:rPr>
                <w:rFonts w:ascii="Arial" w:hAnsi="Arial" w:cs="Arial"/>
                <w:szCs w:val="22"/>
              </w:rPr>
              <w:t xml:space="preserve"> </w:t>
            </w:r>
            <w:r w:rsidR="00AD6EBD" w:rsidRPr="002635A5">
              <w:rPr>
                <w:rFonts w:ascii="Arial" w:hAnsi="Arial" w:cs="Arial"/>
                <w:szCs w:val="22"/>
              </w:rPr>
              <w:t xml:space="preserve">services </w:t>
            </w:r>
            <w:r>
              <w:rPr>
                <w:rFonts w:ascii="Arial" w:hAnsi="Arial" w:cs="Arial"/>
                <w:szCs w:val="22"/>
              </w:rPr>
              <w:t xml:space="preserve">for young people and for implementing, monitoring and evaluating </w:t>
            </w:r>
            <w:r w:rsidR="00AD6EBD" w:rsidRPr="002635A5">
              <w:rPr>
                <w:rFonts w:ascii="Arial" w:hAnsi="Arial" w:cs="Arial"/>
                <w:szCs w:val="22"/>
              </w:rPr>
              <w:t xml:space="preserve">targeted interventions </w:t>
            </w:r>
            <w:r>
              <w:rPr>
                <w:rFonts w:ascii="Arial" w:hAnsi="Arial" w:cs="Arial"/>
                <w:szCs w:val="22"/>
              </w:rPr>
              <w:t xml:space="preserve">to </w:t>
            </w:r>
            <w:r w:rsidR="009E2D3B">
              <w:rPr>
                <w:rFonts w:ascii="Arial" w:hAnsi="Arial" w:cs="Arial"/>
                <w:szCs w:val="22"/>
              </w:rPr>
              <w:t>p</w:t>
            </w:r>
            <w:r w:rsidR="00AD6EBD" w:rsidRPr="002635A5">
              <w:rPr>
                <w:rFonts w:ascii="Arial" w:hAnsi="Arial" w:cs="Arial"/>
                <w:szCs w:val="22"/>
              </w:rPr>
              <w:t>revent young people from entering these sectors</w:t>
            </w:r>
            <w:r w:rsidR="002635A5" w:rsidRPr="002635A5">
              <w:rPr>
                <w:rFonts w:ascii="Arial" w:hAnsi="Arial" w:cs="Arial"/>
                <w:szCs w:val="22"/>
              </w:rPr>
              <w:t>.</w:t>
            </w:r>
          </w:p>
          <w:p w:rsidR="007C00D5" w:rsidRPr="00391DCE" w:rsidRDefault="00AD6EBD" w:rsidP="00F53B3C">
            <w:pPr>
              <w:pStyle w:val="AIHWbodytext"/>
              <w:numPr>
                <w:ilvl w:val="0"/>
                <w:numId w:val="11"/>
              </w:numPr>
              <w:rPr>
                <w:szCs w:val="22"/>
              </w:rPr>
            </w:pPr>
            <w:r w:rsidRPr="002635A5">
              <w:rPr>
                <w:rFonts w:ascii="Arial" w:hAnsi="Arial" w:cs="Arial"/>
                <w:szCs w:val="22"/>
              </w:rPr>
              <w:t xml:space="preserve">Enable </w:t>
            </w:r>
            <w:r w:rsidR="00F53B3C">
              <w:rPr>
                <w:rFonts w:ascii="Arial" w:hAnsi="Arial" w:cs="Arial"/>
                <w:szCs w:val="22"/>
              </w:rPr>
              <w:t xml:space="preserve">young people’s </w:t>
            </w:r>
            <w:r w:rsidRPr="002635A5">
              <w:rPr>
                <w:rFonts w:ascii="Arial" w:hAnsi="Arial" w:cs="Arial"/>
                <w:szCs w:val="22"/>
              </w:rPr>
              <w:t xml:space="preserve">movements between these </w:t>
            </w:r>
            <w:r w:rsidR="00F53B3C">
              <w:rPr>
                <w:rFonts w:ascii="Arial" w:hAnsi="Arial" w:cs="Arial"/>
                <w:szCs w:val="22"/>
              </w:rPr>
              <w:t xml:space="preserve">service </w:t>
            </w:r>
            <w:r w:rsidRPr="002635A5">
              <w:rPr>
                <w:rFonts w:ascii="Arial" w:hAnsi="Arial" w:cs="Arial"/>
                <w:szCs w:val="22"/>
              </w:rPr>
              <w:t xml:space="preserve">sectors </w:t>
            </w:r>
            <w:r w:rsidR="00F53B3C">
              <w:rPr>
                <w:rFonts w:ascii="Arial" w:hAnsi="Arial" w:cs="Arial"/>
                <w:szCs w:val="22"/>
              </w:rPr>
              <w:t xml:space="preserve">over time to be examined which can inform the development of policies that result in early intervention strategies and better outcomes for young people. </w:t>
            </w:r>
          </w:p>
        </w:tc>
      </w:tr>
    </w:tbl>
    <w:p w:rsidR="007E5C85" w:rsidRDefault="007E5C85">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05"/>
      </w:tblGrid>
      <w:tr w:rsidR="007C00D5" w:rsidRPr="000D667C" w:rsidTr="00C41D17">
        <w:tc>
          <w:tcPr>
            <w:tcW w:w="567" w:type="dxa"/>
          </w:tcPr>
          <w:p w:rsidR="007C00D5" w:rsidRPr="000D667C" w:rsidRDefault="007C00D5" w:rsidP="008946EF">
            <w:pPr>
              <w:spacing w:before="120"/>
              <w:rPr>
                <w:szCs w:val="22"/>
              </w:rPr>
            </w:pPr>
            <w:r w:rsidRPr="000D667C">
              <w:rPr>
                <w:sz w:val="22"/>
                <w:szCs w:val="22"/>
              </w:rPr>
              <w:lastRenderedPageBreak/>
              <w:t>5.</w:t>
            </w:r>
          </w:p>
        </w:tc>
        <w:tc>
          <w:tcPr>
            <w:tcW w:w="8505" w:type="dxa"/>
          </w:tcPr>
          <w:p w:rsidR="007C00D5" w:rsidRPr="00391DCE" w:rsidRDefault="007E0343" w:rsidP="008946EF">
            <w:pPr>
              <w:spacing w:before="120"/>
              <w:rPr>
                <w:szCs w:val="22"/>
              </w:rPr>
            </w:pPr>
            <w:r w:rsidRPr="00391DCE">
              <w:rPr>
                <w:sz w:val="22"/>
                <w:szCs w:val="22"/>
              </w:rPr>
              <w:t>Proposed work program t</w:t>
            </w:r>
            <w:r w:rsidR="007C00D5" w:rsidRPr="00391DCE">
              <w:rPr>
                <w:sz w:val="22"/>
                <w:szCs w:val="22"/>
              </w:rPr>
              <w:t>imeframes/</w:t>
            </w:r>
            <w:r w:rsidRPr="00391DCE">
              <w:rPr>
                <w:sz w:val="22"/>
                <w:szCs w:val="22"/>
              </w:rPr>
              <w:t xml:space="preserve"> and milestones</w:t>
            </w:r>
          </w:p>
          <w:p w:rsidR="00AD6EBD" w:rsidRPr="00AD6EBD" w:rsidRDefault="00AD6EBD" w:rsidP="00AD6EBD">
            <w:pPr>
              <w:spacing w:before="120"/>
              <w:rPr>
                <w:rFonts w:cs="Arial"/>
                <w:b/>
                <w:szCs w:val="22"/>
              </w:rPr>
            </w:pPr>
          </w:p>
          <w:tbl>
            <w:tblPr>
              <w:tblW w:w="8560" w:type="dxa"/>
              <w:tblBorders>
                <w:top w:val="single" w:sz="4" w:space="0" w:color="000000"/>
                <w:bottom w:val="single" w:sz="4" w:space="0" w:color="000000"/>
              </w:tblBorders>
              <w:tblLayout w:type="fixed"/>
              <w:tblCellMar>
                <w:left w:w="85" w:type="dxa"/>
                <w:right w:w="85" w:type="dxa"/>
              </w:tblCellMar>
              <w:tblLook w:val="04A0"/>
            </w:tblPr>
            <w:tblGrid>
              <w:gridCol w:w="960"/>
              <w:gridCol w:w="5500"/>
              <w:gridCol w:w="2100"/>
            </w:tblGrid>
            <w:tr w:rsidR="00AD6EBD" w:rsidRPr="00AD6EBD" w:rsidTr="00F50568">
              <w:trPr>
                <w:trHeight w:val="300"/>
              </w:trPr>
              <w:tc>
                <w:tcPr>
                  <w:tcW w:w="960" w:type="dxa"/>
                  <w:tcBorders>
                    <w:top w:val="single" w:sz="4" w:space="0" w:color="000000"/>
                    <w:left w:val="nil"/>
                    <w:bottom w:val="single" w:sz="4" w:space="0" w:color="000000"/>
                    <w:right w:val="nil"/>
                    <w:tl2br w:val="nil"/>
                    <w:tr2bl w:val="nil"/>
                  </w:tcBorders>
                  <w:shd w:val="clear" w:color="auto" w:fill="auto"/>
                  <w:vAlign w:val="bottom"/>
                  <w:hideMark/>
                </w:tcPr>
                <w:p w:rsidR="00AD6EBD" w:rsidRPr="00AD6EBD" w:rsidRDefault="00AD6EBD" w:rsidP="00E71881">
                  <w:pPr>
                    <w:pStyle w:val="TableFigText"/>
                    <w:rPr>
                      <w:b/>
                      <w:color w:val="000000"/>
                      <w:sz w:val="22"/>
                      <w:szCs w:val="22"/>
                    </w:rPr>
                  </w:pPr>
                  <w:bookmarkStart w:id="1" w:name="RANGE!A1"/>
                  <w:r w:rsidRPr="00AD6EBD">
                    <w:rPr>
                      <w:b/>
                      <w:color w:val="000000"/>
                      <w:sz w:val="22"/>
                      <w:szCs w:val="22"/>
                    </w:rPr>
                    <w:t>Step</w:t>
                  </w:r>
                  <w:bookmarkEnd w:id="1"/>
                </w:p>
              </w:tc>
              <w:tc>
                <w:tcPr>
                  <w:tcW w:w="5500" w:type="dxa"/>
                  <w:tcBorders>
                    <w:top w:val="single" w:sz="4" w:space="0" w:color="000000"/>
                    <w:left w:val="nil"/>
                    <w:bottom w:val="single" w:sz="4" w:space="0" w:color="000000"/>
                    <w:right w:val="nil"/>
                    <w:tl2br w:val="nil"/>
                    <w:tr2bl w:val="nil"/>
                  </w:tcBorders>
                  <w:shd w:val="clear" w:color="auto" w:fill="auto"/>
                  <w:vAlign w:val="bottom"/>
                  <w:hideMark/>
                </w:tcPr>
                <w:p w:rsidR="00AD6EBD" w:rsidRPr="00AD6EBD" w:rsidRDefault="00AD6EBD" w:rsidP="00E71881">
                  <w:pPr>
                    <w:pStyle w:val="TableFigText"/>
                    <w:rPr>
                      <w:b/>
                      <w:color w:val="000000"/>
                      <w:sz w:val="22"/>
                      <w:szCs w:val="22"/>
                    </w:rPr>
                  </w:pPr>
                  <w:r w:rsidRPr="00AD6EBD">
                    <w:rPr>
                      <w:b/>
                      <w:color w:val="000000"/>
                      <w:sz w:val="22"/>
                      <w:szCs w:val="22"/>
                    </w:rPr>
                    <w:t>Activity/milestone</w:t>
                  </w:r>
                </w:p>
              </w:tc>
              <w:tc>
                <w:tcPr>
                  <w:tcW w:w="2100" w:type="dxa"/>
                  <w:tcBorders>
                    <w:top w:val="single" w:sz="4" w:space="0" w:color="000000"/>
                    <w:left w:val="nil"/>
                    <w:bottom w:val="single" w:sz="4" w:space="0" w:color="000000"/>
                    <w:right w:val="nil"/>
                    <w:tl2br w:val="nil"/>
                    <w:tr2bl w:val="nil"/>
                  </w:tcBorders>
                  <w:shd w:val="clear" w:color="auto" w:fill="auto"/>
                  <w:vAlign w:val="bottom"/>
                  <w:hideMark/>
                </w:tcPr>
                <w:p w:rsidR="00AD6EBD" w:rsidRPr="00AD6EBD" w:rsidRDefault="00AD6EBD" w:rsidP="00E71881">
                  <w:pPr>
                    <w:pStyle w:val="TableFigText"/>
                    <w:rPr>
                      <w:b/>
                      <w:color w:val="000000"/>
                      <w:sz w:val="22"/>
                      <w:szCs w:val="22"/>
                    </w:rPr>
                  </w:pPr>
                  <w:r w:rsidRPr="00AD6EBD">
                    <w:rPr>
                      <w:b/>
                      <w:color w:val="000000"/>
                      <w:sz w:val="22"/>
                      <w:szCs w:val="22"/>
                    </w:rPr>
                    <w:t>Expected completion</w:t>
                  </w:r>
                </w:p>
              </w:tc>
            </w:tr>
            <w:tr w:rsidR="00AD6EBD" w:rsidRPr="00AD6EBD" w:rsidTr="00F50568">
              <w:trPr>
                <w:trHeight w:val="300"/>
              </w:trPr>
              <w:tc>
                <w:tcPr>
                  <w:tcW w:w="960" w:type="dxa"/>
                  <w:shd w:val="clear" w:color="auto" w:fill="auto"/>
                  <w:vAlign w:val="bottom"/>
                  <w:hideMark/>
                </w:tcPr>
                <w:p w:rsidR="00AD6EBD" w:rsidRPr="00AD6EBD" w:rsidRDefault="00AD6EBD" w:rsidP="00E71881">
                  <w:pPr>
                    <w:pStyle w:val="TableFigText"/>
                    <w:rPr>
                      <w:color w:val="000000"/>
                      <w:sz w:val="22"/>
                      <w:szCs w:val="22"/>
                    </w:rPr>
                  </w:pPr>
                  <w:r w:rsidRPr="00AD6EBD">
                    <w:rPr>
                      <w:color w:val="000000"/>
                      <w:sz w:val="22"/>
                      <w:szCs w:val="22"/>
                    </w:rPr>
                    <w:t>1</w:t>
                  </w:r>
                </w:p>
              </w:tc>
              <w:tc>
                <w:tcPr>
                  <w:tcW w:w="5500" w:type="dxa"/>
                  <w:shd w:val="clear" w:color="auto" w:fill="auto"/>
                  <w:vAlign w:val="bottom"/>
                </w:tcPr>
                <w:p w:rsidR="00AD6EBD" w:rsidRPr="00AD6EBD" w:rsidRDefault="00090CEB" w:rsidP="00E71881">
                  <w:pPr>
                    <w:pStyle w:val="TableFigText"/>
                    <w:rPr>
                      <w:color w:val="000000"/>
                      <w:sz w:val="22"/>
                      <w:szCs w:val="22"/>
                    </w:rPr>
                  </w:pPr>
                  <w:r>
                    <w:rPr>
                      <w:color w:val="000000"/>
                      <w:sz w:val="22"/>
                      <w:szCs w:val="22"/>
                    </w:rPr>
                    <w:t>Establish project reference group</w:t>
                  </w:r>
                </w:p>
              </w:tc>
              <w:tc>
                <w:tcPr>
                  <w:tcW w:w="2100" w:type="dxa"/>
                  <w:shd w:val="clear" w:color="auto" w:fill="auto"/>
                  <w:vAlign w:val="bottom"/>
                </w:tcPr>
                <w:p w:rsidR="00AD6EBD" w:rsidRPr="00AD6EBD" w:rsidRDefault="00090CEB" w:rsidP="00E71881">
                  <w:pPr>
                    <w:pStyle w:val="TableFigText"/>
                    <w:rPr>
                      <w:color w:val="000000"/>
                      <w:sz w:val="22"/>
                      <w:szCs w:val="22"/>
                    </w:rPr>
                  </w:pPr>
                  <w:r>
                    <w:rPr>
                      <w:color w:val="000000"/>
                      <w:sz w:val="22"/>
                      <w:szCs w:val="22"/>
                    </w:rPr>
                    <w:t>July 2014</w:t>
                  </w:r>
                </w:p>
              </w:tc>
            </w:tr>
            <w:tr w:rsidR="00090CEB" w:rsidRPr="00AD6EBD" w:rsidTr="00F50568">
              <w:trPr>
                <w:trHeight w:val="355"/>
              </w:trPr>
              <w:tc>
                <w:tcPr>
                  <w:tcW w:w="960" w:type="dxa"/>
                  <w:shd w:val="clear" w:color="auto" w:fill="auto"/>
                  <w:hideMark/>
                </w:tcPr>
                <w:p w:rsidR="00090CEB" w:rsidRPr="00AD6EBD" w:rsidRDefault="00090CEB" w:rsidP="00E71881">
                  <w:pPr>
                    <w:pStyle w:val="TableFigText"/>
                    <w:rPr>
                      <w:color w:val="000000"/>
                      <w:sz w:val="22"/>
                      <w:szCs w:val="22"/>
                    </w:rPr>
                  </w:pPr>
                  <w:r w:rsidRPr="00AD6EBD">
                    <w:rPr>
                      <w:color w:val="000000"/>
                      <w:sz w:val="22"/>
                      <w:szCs w:val="22"/>
                    </w:rPr>
                    <w:t>2</w:t>
                  </w:r>
                </w:p>
              </w:tc>
              <w:tc>
                <w:tcPr>
                  <w:tcW w:w="5500" w:type="dxa"/>
                  <w:shd w:val="clear" w:color="auto" w:fill="auto"/>
                  <w:vAlign w:val="bottom"/>
                </w:tcPr>
                <w:p w:rsidR="00090CEB" w:rsidRPr="00AD6EBD" w:rsidRDefault="00E0482F" w:rsidP="00E0482F">
                  <w:pPr>
                    <w:pStyle w:val="TableFigText"/>
                    <w:rPr>
                      <w:color w:val="000000"/>
                      <w:sz w:val="22"/>
                      <w:szCs w:val="22"/>
                    </w:rPr>
                  </w:pPr>
                  <w:r>
                    <w:rPr>
                      <w:color w:val="000000"/>
                      <w:sz w:val="22"/>
                      <w:szCs w:val="22"/>
                    </w:rPr>
                    <w:t xml:space="preserve">Review and revise previous </w:t>
                  </w:r>
                  <w:r w:rsidR="004B71D7">
                    <w:rPr>
                      <w:color w:val="000000"/>
                      <w:sz w:val="22"/>
                      <w:szCs w:val="22"/>
                    </w:rPr>
                    <w:t xml:space="preserve">data linkage </w:t>
                  </w:r>
                  <w:r>
                    <w:rPr>
                      <w:color w:val="000000"/>
                      <w:sz w:val="22"/>
                      <w:szCs w:val="22"/>
                    </w:rPr>
                    <w:t>methodology as required</w:t>
                  </w:r>
                </w:p>
              </w:tc>
              <w:tc>
                <w:tcPr>
                  <w:tcW w:w="2100" w:type="dxa"/>
                  <w:shd w:val="clear" w:color="auto" w:fill="auto"/>
                  <w:vAlign w:val="bottom"/>
                </w:tcPr>
                <w:p w:rsidR="00090CEB" w:rsidRPr="00AD6EBD" w:rsidRDefault="008C55AD" w:rsidP="007A5677">
                  <w:pPr>
                    <w:pStyle w:val="TableFigText"/>
                    <w:rPr>
                      <w:color w:val="000000"/>
                      <w:sz w:val="22"/>
                      <w:szCs w:val="22"/>
                    </w:rPr>
                  </w:pPr>
                  <w:r>
                    <w:rPr>
                      <w:color w:val="000000"/>
                      <w:sz w:val="22"/>
                      <w:szCs w:val="22"/>
                    </w:rPr>
                    <w:t>Late 2014</w:t>
                  </w:r>
                </w:p>
              </w:tc>
            </w:tr>
            <w:tr w:rsidR="00090CEB" w:rsidRPr="00AD6EBD" w:rsidTr="00F50568">
              <w:trPr>
                <w:trHeight w:val="321"/>
              </w:trPr>
              <w:tc>
                <w:tcPr>
                  <w:tcW w:w="960" w:type="dxa"/>
                  <w:shd w:val="clear" w:color="auto" w:fill="auto"/>
                  <w:hideMark/>
                </w:tcPr>
                <w:p w:rsidR="00090CEB" w:rsidRPr="00AD6EBD" w:rsidRDefault="00090CEB" w:rsidP="00E71881">
                  <w:pPr>
                    <w:pStyle w:val="TableFigText"/>
                    <w:rPr>
                      <w:color w:val="000000"/>
                      <w:sz w:val="22"/>
                      <w:szCs w:val="22"/>
                    </w:rPr>
                  </w:pPr>
                  <w:r w:rsidRPr="00AD6EBD">
                    <w:rPr>
                      <w:color w:val="000000"/>
                      <w:sz w:val="22"/>
                      <w:szCs w:val="22"/>
                    </w:rPr>
                    <w:t>3</w:t>
                  </w:r>
                </w:p>
              </w:tc>
              <w:tc>
                <w:tcPr>
                  <w:tcW w:w="5500" w:type="dxa"/>
                  <w:shd w:val="clear" w:color="auto" w:fill="auto"/>
                  <w:vAlign w:val="bottom"/>
                </w:tcPr>
                <w:p w:rsidR="00090CEB" w:rsidRPr="00AD6EBD" w:rsidRDefault="006A4A29" w:rsidP="006A4A29">
                  <w:pPr>
                    <w:pStyle w:val="TableFigText"/>
                    <w:rPr>
                      <w:color w:val="000000"/>
                      <w:sz w:val="22"/>
                      <w:szCs w:val="22"/>
                    </w:rPr>
                  </w:pPr>
                  <w:r>
                    <w:rPr>
                      <w:color w:val="000000"/>
                      <w:sz w:val="22"/>
                      <w:szCs w:val="22"/>
                    </w:rPr>
                    <w:t>Detailed consultation on key analysis principles and questions</w:t>
                  </w:r>
                </w:p>
              </w:tc>
              <w:tc>
                <w:tcPr>
                  <w:tcW w:w="2100" w:type="dxa"/>
                  <w:shd w:val="clear" w:color="auto" w:fill="auto"/>
                  <w:vAlign w:val="bottom"/>
                </w:tcPr>
                <w:p w:rsidR="00090CEB" w:rsidRPr="00AD6EBD" w:rsidRDefault="008C55AD" w:rsidP="00E71881">
                  <w:pPr>
                    <w:pStyle w:val="TableFigText"/>
                    <w:rPr>
                      <w:color w:val="000000"/>
                      <w:sz w:val="22"/>
                      <w:szCs w:val="22"/>
                    </w:rPr>
                  </w:pPr>
                  <w:r>
                    <w:rPr>
                      <w:color w:val="000000"/>
                      <w:sz w:val="22"/>
                      <w:szCs w:val="22"/>
                    </w:rPr>
                    <w:t>Early 2015</w:t>
                  </w:r>
                </w:p>
              </w:tc>
            </w:tr>
            <w:tr w:rsidR="00090CEB" w:rsidRPr="00AD6EBD" w:rsidTr="00F50568">
              <w:trPr>
                <w:trHeight w:val="284"/>
              </w:trPr>
              <w:tc>
                <w:tcPr>
                  <w:tcW w:w="960" w:type="dxa"/>
                  <w:shd w:val="clear" w:color="auto" w:fill="auto"/>
                  <w:hideMark/>
                </w:tcPr>
                <w:p w:rsidR="00090CEB" w:rsidRPr="00AD6EBD" w:rsidRDefault="00090CEB" w:rsidP="00E71881">
                  <w:pPr>
                    <w:pStyle w:val="TableFigText"/>
                    <w:rPr>
                      <w:color w:val="000000"/>
                      <w:sz w:val="22"/>
                      <w:szCs w:val="22"/>
                    </w:rPr>
                  </w:pPr>
                  <w:r w:rsidRPr="00AD6EBD">
                    <w:rPr>
                      <w:color w:val="000000"/>
                      <w:sz w:val="22"/>
                      <w:szCs w:val="22"/>
                    </w:rPr>
                    <w:t>4</w:t>
                  </w:r>
                </w:p>
              </w:tc>
              <w:tc>
                <w:tcPr>
                  <w:tcW w:w="5500" w:type="dxa"/>
                  <w:shd w:val="clear" w:color="auto" w:fill="auto"/>
                  <w:vAlign w:val="bottom"/>
                </w:tcPr>
                <w:p w:rsidR="00090CEB" w:rsidRPr="00AD6EBD" w:rsidRDefault="00090CEB" w:rsidP="007A5677">
                  <w:pPr>
                    <w:pStyle w:val="TableFigText"/>
                    <w:rPr>
                      <w:color w:val="000000"/>
                      <w:sz w:val="22"/>
                      <w:szCs w:val="22"/>
                    </w:rPr>
                  </w:pPr>
                  <w:r>
                    <w:rPr>
                      <w:color w:val="000000"/>
                      <w:sz w:val="22"/>
                      <w:szCs w:val="22"/>
                    </w:rPr>
                    <w:t>Ethics Committee approvals as required</w:t>
                  </w:r>
                </w:p>
              </w:tc>
              <w:tc>
                <w:tcPr>
                  <w:tcW w:w="2100" w:type="dxa"/>
                  <w:shd w:val="clear" w:color="auto" w:fill="auto"/>
                  <w:vAlign w:val="bottom"/>
                </w:tcPr>
                <w:p w:rsidR="00090CEB" w:rsidRPr="00AD6EBD" w:rsidRDefault="006A4A29" w:rsidP="007A5677">
                  <w:pPr>
                    <w:pStyle w:val="TableFigText"/>
                    <w:rPr>
                      <w:color w:val="000000"/>
                      <w:sz w:val="22"/>
                      <w:szCs w:val="22"/>
                    </w:rPr>
                  </w:pPr>
                  <w:r>
                    <w:rPr>
                      <w:color w:val="000000"/>
                      <w:sz w:val="22"/>
                      <w:szCs w:val="22"/>
                    </w:rPr>
                    <w:t xml:space="preserve">By </w:t>
                  </w:r>
                  <w:r w:rsidR="00090CEB">
                    <w:rPr>
                      <w:color w:val="000000"/>
                      <w:sz w:val="22"/>
                      <w:szCs w:val="22"/>
                    </w:rPr>
                    <w:t>Dec 2014</w:t>
                  </w:r>
                </w:p>
              </w:tc>
            </w:tr>
            <w:tr w:rsidR="006A4A29" w:rsidRPr="00AD6EBD" w:rsidTr="00F50568">
              <w:trPr>
                <w:trHeight w:val="120"/>
              </w:trPr>
              <w:tc>
                <w:tcPr>
                  <w:tcW w:w="960" w:type="dxa"/>
                  <w:shd w:val="clear" w:color="auto" w:fill="auto"/>
                </w:tcPr>
                <w:p w:rsidR="006A4A29" w:rsidRPr="00AD6EBD" w:rsidRDefault="006A4A29" w:rsidP="00E71881">
                  <w:pPr>
                    <w:pStyle w:val="TableFigText"/>
                    <w:rPr>
                      <w:color w:val="000000"/>
                      <w:sz w:val="22"/>
                      <w:szCs w:val="22"/>
                    </w:rPr>
                  </w:pPr>
                  <w:r>
                    <w:rPr>
                      <w:color w:val="000000"/>
                      <w:sz w:val="22"/>
                      <w:szCs w:val="22"/>
                    </w:rPr>
                    <w:t>5</w:t>
                  </w:r>
                </w:p>
              </w:tc>
              <w:tc>
                <w:tcPr>
                  <w:tcW w:w="5500" w:type="dxa"/>
                  <w:shd w:val="clear" w:color="auto" w:fill="auto"/>
                  <w:vAlign w:val="bottom"/>
                </w:tcPr>
                <w:p w:rsidR="006A4A29" w:rsidRDefault="006A4A29" w:rsidP="00E71881">
                  <w:pPr>
                    <w:pStyle w:val="TableFigText"/>
                    <w:rPr>
                      <w:color w:val="000000"/>
                      <w:sz w:val="22"/>
                      <w:szCs w:val="22"/>
                    </w:rPr>
                  </w:pPr>
                  <w:r>
                    <w:rPr>
                      <w:color w:val="000000"/>
                      <w:sz w:val="22"/>
                      <w:szCs w:val="22"/>
                    </w:rPr>
                    <w:t>Prepare data sets for linkage purposes</w:t>
                  </w:r>
                </w:p>
              </w:tc>
              <w:tc>
                <w:tcPr>
                  <w:tcW w:w="2100" w:type="dxa"/>
                  <w:shd w:val="clear" w:color="auto" w:fill="auto"/>
                  <w:vAlign w:val="bottom"/>
                </w:tcPr>
                <w:p w:rsidR="006A4A29" w:rsidRDefault="004B71D7" w:rsidP="004B71D7">
                  <w:pPr>
                    <w:pStyle w:val="TableFigText"/>
                    <w:rPr>
                      <w:color w:val="000000"/>
                      <w:sz w:val="22"/>
                      <w:szCs w:val="22"/>
                    </w:rPr>
                  </w:pPr>
                  <w:r>
                    <w:rPr>
                      <w:color w:val="000000"/>
                      <w:sz w:val="22"/>
                      <w:szCs w:val="22"/>
                    </w:rPr>
                    <w:t>February</w:t>
                  </w:r>
                  <w:r w:rsidR="007E5C85">
                    <w:rPr>
                      <w:color w:val="000000"/>
                      <w:sz w:val="22"/>
                      <w:szCs w:val="22"/>
                    </w:rPr>
                    <w:t xml:space="preserve"> </w:t>
                  </w:r>
                  <w:r w:rsidR="006A4A29">
                    <w:rPr>
                      <w:color w:val="000000"/>
                      <w:sz w:val="22"/>
                      <w:szCs w:val="22"/>
                    </w:rPr>
                    <w:t>2015</w:t>
                  </w:r>
                </w:p>
              </w:tc>
            </w:tr>
            <w:tr w:rsidR="00090CEB" w:rsidRPr="00AD6EBD" w:rsidTr="00F50568">
              <w:trPr>
                <w:trHeight w:val="120"/>
              </w:trPr>
              <w:tc>
                <w:tcPr>
                  <w:tcW w:w="960" w:type="dxa"/>
                  <w:shd w:val="clear" w:color="auto" w:fill="auto"/>
                  <w:hideMark/>
                </w:tcPr>
                <w:p w:rsidR="00090CEB" w:rsidRPr="00AD6EBD" w:rsidRDefault="006A4A29" w:rsidP="00E71881">
                  <w:pPr>
                    <w:pStyle w:val="TableFigText"/>
                    <w:rPr>
                      <w:color w:val="000000"/>
                      <w:sz w:val="22"/>
                      <w:szCs w:val="22"/>
                    </w:rPr>
                  </w:pPr>
                  <w:r>
                    <w:rPr>
                      <w:color w:val="000000"/>
                      <w:sz w:val="22"/>
                      <w:szCs w:val="22"/>
                    </w:rPr>
                    <w:t>6</w:t>
                  </w:r>
                </w:p>
              </w:tc>
              <w:tc>
                <w:tcPr>
                  <w:tcW w:w="5500" w:type="dxa"/>
                  <w:shd w:val="clear" w:color="auto" w:fill="auto"/>
                  <w:vAlign w:val="bottom"/>
                </w:tcPr>
                <w:p w:rsidR="00090CEB" w:rsidRPr="00AD6EBD" w:rsidRDefault="006A4A29" w:rsidP="006A4A29">
                  <w:pPr>
                    <w:pStyle w:val="TableFigText"/>
                    <w:rPr>
                      <w:color w:val="000000"/>
                      <w:sz w:val="22"/>
                      <w:szCs w:val="22"/>
                    </w:rPr>
                  </w:pPr>
                  <w:r>
                    <w:rPr>
                      <w:color w:val="000000"/>
                      <w:sz w:val="22"/>
                      <w:szCs w:val="22"/>
                    </w:rPr>
                    <w:t xml:space="preserve">Perform data linkage and analyse linked </w:t>
                  </w:r>
                  <w:r w:rsidR="007A5677">
                    <w:rPr>
                      <w:color w:val="000000"/>
                      <w:sz w:val="22"/>
                      <w:szCs w:val="22"/>
                    </w:rPr>
                    <w:t xml:space="preserve">dataset </w:t>
                  </w:r>
                </w:p>
              </w:tc>
              <w:tc>
                <w:tcPr>
                  <w:tcW w:w="2100" w:type="dxa"/>
                  <w:shd w:val="clear" w:color="auto" w:fill="auto"/>
                  <w:vAlign w:val="bottom"/>
                </w:tcPr>
                <w:p w:rsidR="00090CEB" w:rsidRPr="00AD6EBD" w:rsidRDefault="004B71D7" w:rsidP="004B71D7">
                  <w:pPr>
                    <w:pStyle w:val="TableFigText"/>
                    <w:rPr>
                      <w:color w:val="000000"/>
                      <w:sz w:val="22"/>
                      <w:szCs w:val="22"/>
                    </w:rPr>
                  </w:pPr>
                  <w:r>
                    <w:rPr>
                      <w:color w:val="000000"/>
                      <w:sz w:val="22"/>
                      <w:szCs w:val="22"/>
                    </w:rPr>
                    <w:t>July</w:t>
                  </w:r>
                  <w:r w:rsidR="007E5C85">
                    <w:rPr>
                      <w:color w:val="000000"/>
                      <w:sz w:val="22"/>
                      <w:szCs w:val="22"/>
                    </w:rPr>
                    <w:t xml:space="preserve"> </w:t>
                  </w:r>
                  <w:r w:rsidR="006A4A29">
                    <w:rPr>
                      <w:color w:val="000000"/>
                      <w:sz w:val="22"/>
                      <w:szCs w:val="22"/>
                    </w:rPr>
                    <w:t>2015</w:t>
                  </w:r>
                </w:p>
              </w:tc>
            </w:tr>
            <w:tr w:rsidR="006A4A29" w:rsidRPr="00AD6EBD" w:rsidTr="00F50568">
              <w:trPr>
                <w:trHeight w:val="300"/>
              </w:trPr>
              <w:tc>
                <w:tcPr>
                  <w:tcW w:w="960" w:type="dxa"/>
                  <w:shd w:val="clear" w:color="auto" w:fill="auto"/>
                </w:tcPr>
                <w:p w:rsidR="006A4A29" w:rsidRPr="00AD6EBD" w:rsidRDefault="004B71D7" w:rsidP="00E71881">
                  <w:pPr>
                    <w:pStyle w:val="TableFigText"/>
                    <w:rPr>
                      <w:color w:val="000000"/>
                      <w:sz w:val="22"/>
                      <w:szCs w:val="22"/>
                    </w:rPr>
                  </w:pPr>
                  <w:r>
                    <w:rPr>
                      <w:color w:val="000000"/>
                      <w:sz w:val="22"/>
                      <w:szCs w:val="22"/>
                    </w:rPr>
                    <w:t>7</w:t>
                  </w:r>
                </w:p>
              </w:tc>
              <w:tc>
                <w:tcPr>
                  <w:tcW w:w="5500" w:type="dxa"/>
                  <w:shd w:val="clear" w:color="auto" w:fill="auto"/>
                  <w:vAlign w:val="bottom"/>
                </w:tcPr>
                <w:p w:rsidR="006A4A29" w:rsidRPr="00AD6EBD" w:rsidRDefault="007E5C85" w:rsidP="004B71D7">
                  <w:pPr>
                    <w:pStyle w:val="TableFigText"/>
                    <w:rPr>
                      <w:color w:val="000000"/>
                      <w:sz w:val="22"/>
                      <w:szCs w:val="22"/>
                    </w:rPr>
                  </w:pPr>
                  <w:r>
                    <w:rPr>
                      <w:color w:val="000000"/>
                      <w:sz w:val="22"/>
                      <w:szCs w:val="22"/>
                    </w:rPr>
                    <w:t>Draft report</w:t>
                  </w:r>
                </w:p>
              </w:tc>
              <w:tc>
                <w:tcPr>
                  <w:tcW w:w="2100" w:type="dxa"/>
                  <w:shd w:val="clear" w:color="auto" w:fill="auto"/>
                  <w:vAlign w:val="bottom"/>
                </w:tcPr>
                <w:p w:rsidR="006A4A29" w:rsidRDefault="004B71D7" w:rsidP="00E71881">
                  <w:pPr>
                    <w:pStyle w:val="TableFigText"/>
                    <w:rPr>
                      <w:color w:val="000000"/>
                      <w:sz w:val="22"/>
                      <w:szCs w:val="22"/>
                    </w:rPr>
                  </w:pPr>
                  <w:r>
                    <w:rPr>
                      <w:color w:val="000000"/>
                      <w:sz w:val="22"/>
                      <w:szCs w:val="22"/>
                    </w:rPr>
                    <w:t>September 2015</w:t>
                  </w:r>
                </w:p>
              </w:tc>
            </w:tr>
            <w:tr w:rsidR="004B71D7" w:rsidRPr="00AD6EBD" w:rsidTr="007E5C85">
              <w:trPr>
                <w:trHeight w:val="300"/>
              </w:trPr>
              <w:tc>
                <w:tcPr>
                  <w:tcW w:w="960" w:type="dxa"/>
                  <w:shd w:val="clear" w:color="auto" w:fill="auto"/>
                </w:tcPr>
                <w:p w:rsidR="004B71D7" w:rsidRPr="00AD6EBD" w:rsidRDefault="004B71D7" w:rsidP="004B71D7">
                  <w:pPr>
                    <w:pStyle w:val="TableFigText"/>
                    <w:rPr>
                      <w:color w:val="000000"/>
                      <w:sz w:val="22"/>
                      <w:szCs w:val="22"/>
                    </w:rPr>
                  </w:pPr>
                  <w:r w:rsidRPr="007E5C85">
                    <w:rPr>
                      <w:color w:val="000000"/>
                      <w:sz w:val="22"/>
                      <w:szCs w:val="22"/>
                    </w:rPr>
                    <w:t>8</w:t>
                  </w:r>
                </w:p>
              </w:tc>
              <w:tc>
                <w:tcPr>
                  <w:tcW w:w="5500" w:type="dxa"/>
                  <w:shd w:val="clear" w:color="auto" w:fill="auto"/>
                </w:tcPr>
                <w:p w:rsidR="004B71D7" w:rsidRPr="00AD6EBD" w:rsidRDefault="004B71D7" w:rsidP="00E71881">
                  <w:pPr>
                    <w:pStyle w:val="TableFigText"/>
                    <w:rPr>
                      <w:color w:val="000000"/>
                      <w:sz w:val="22"/>
                      <w:szCs w:val="22"/>
                    </w:rPr>
                  </w:pPr>
                  <w:r w:rsidRPr="007E5C85">
                    <w:rPr>
                      <w:color w:val="000000"/>
                      <w:sz w:val="22"/>
                      <w:szCs w:val="22"/>
                    </w:rPr>
                    <w:t xml:space="preserve">Final report to SCCDSAC </w:t>
                  </w:r>
                </w:p>
              </w:tc>
              <w:tc>
                <w:tcPr>
                  <w:tcW w:w="2100" w:type="dxa"/>
                  <w:shd w:val="clear" w:color="auto" w:fill="auto"/>
                </w:tcPr>
                <w:p w:rsidR="004B71D7" w:rsidRPr="00AD6EBD" w:rsidRDefault="004B71D7" w:rsidP="00E71881">
                  <w:pPr>
                    <w:pStyle w:val="TableFigText"/>
                    <w:rPr>
                      <w:color w:val="000000"/>
                      <w:sz w:val="22"/>
                      <w:szCs w:val="22"/>
                    </w:rPr>
                  </w:pPr>
                  <w:r w:rsidRPr="007E5C85">
                    <w:rPr>
                      <w:color w:val="000000"/>
                      <w:sz w:val="22"/>
                      <w:szCs w:val="22"/>
                    </w:rPr>
                    <w:t>November 2015</w:t>
                  </w:r>
                </w:p>
              </w:tc>
            </w:tr>
          </w:tbl>
          <w:p w:rsidR="007C00D5" w:rsidRPr="00391DCE" w:rsidRDefault="007C00D5" w:rsidP="009D2EBF">
            <w:pPr>
              <w:rPr>
                <w:szCs w:val="22"/>
              </w:rPr>
            </w:pPr>
          </w:p>
          <w:p w:rsidR="009D2EBF" w:rsidRPr="00391DCE" w:rsidRDefault="009D2EBF" w:rsidP="009D2EBF">
            <w:pPr>
              <w:rPr>
                <w:szCs w:val="22"/>
              </w:rPr>
            </w:pPr>
          </w:p>
        </w:tc>
      </w:tr>
      <w:tr w:rsidR="007C00D5" w:rsidRPr="000D667C" w:rsidTr="00C41D17">
        <w:tc>
          <w:tcPr>
            <w:tcW w:w="567" w:type="dxa"/>
          </w:tcPr>
          <w:p w:rsidR="007C00D5" w:rsidRPr="000D667C" w:rsidRDefault="007C00D5" w:rsidP="008946EF">
            <w:pPr>
              <w:spacing w:before="120"/>
              <w:rPr>
                <w:szCs w:val="22"/>
              </w:rPr>
            </w:pPr>
            <w:r w:rsidRPr="000D667C">
              <w:rPr>
                <w:sz w:val="22"/>
                <w:szCs w:val="22"/>
              </w:rPr>
              <w:t>6.</w:t>
            </w:r>
          </w:p>
        </w:tc>
        <w:tc>
          <w:tcPr>
            <w:tcW w:w="8505" w:type="dxa"/>
          </w:tcPr>
          <w:p w:rsidR="007C00D5" w:rsidRPr="00391DCE" w:rsidRDefault="007E0343" w:rsidP="008946EF">
            <w:pPr>
              <w:spacing w:before="120"/>
              <w:rPr>
                <w:szCs w:val="22"/>
              </w:rPr>
            </w:pPr>
            <w:r w:rsidRPr="00391DCE">
              <w:rPr>
                <w:sz w:val="22"/>
                <w:szCs w:val="22"/>
              </w:rPr>
              <w:t>Outcomes from earlier years work on this p</w:t>
            </w:r>
            <w:r w:rsidR="007C00D5" w:rsidRPr="00391DCE">
              <w:rPr>
                <w:sz w:val="22"/>
                <w:szCs w:val="22"/>
              </w:rPr>
              <w:t xml:space="preserve">roject </w:t>
            </w:r>
            <w:r w:rsidR="007C00D5" w:rsidRPr="00391DCE">
              <w:rPr>
                <w:i/>
                <w:sz w:val="22"/>
                <w:szCs w:val="22"/>
              </w:rPr>
              <w:t>(if applicable)</w:t>
            </w:r>
          </w:p>
          <w:p w:rsidR="007C00D5" w:rsidRPr="00391DCE" w:rsidRDefault="007C00D5" w:rsidP="00C41D17">
            <w:pPr>
              <w:rPr>
                <w:szCs w:val="22"/>
              </w:rPr>
            </w:pPr>
          </w:p>
          <w:p w:rsidR="00F50568" w:rsidRPr="00AD6EBD" w:rsidRDefault="00D1336A" w:rsidP="00F50568">
            <w:pPr>
              <w:pStyle w:val="AIHWbodytext"/>
              <w:rPr>
                <w:rFonts w:ascii="Arial" w:hAnsi="Arial" w:cs="Arial"/>
                <w:szCs w:val="22"/>
              </w:rPr>
            </w:pPr>
            <w:r>
              <w:rPr>
                <w:rFonts w:ascii="Arial" w:hAnsi="Arial" w:cs="Arial"/>
                <w:szCs w:val="22"/>
              </w:rPr>
              <w:t xml:space="preserve">AIHW is an accredited data linkage organisation.  </w:t>
            </w:r>
            <w:r w:rsidR="00F50568" w:rsidRPr="00AD6EBD">
              <w:rPr>
                <w:rFonts w:ascii="Arial" w:hAnsi="Arial" w:cs="Arial"/>
                <w:szCs w:val="22"/>
              </w:rPr>
              <w:t>This project builds on the previous CDSMAC-funded projects to link child protection, SAAP and juvenile justice data (stage 1 and stage 2), which resulted in the following publications:</w:t>
            </w:r>
          </w:p>
          <w:p w:rsidR="00F50568" w:rsidRPr="00AD6EBD" w:rsidRDefault="00F50568" w:rsidP="00F50568">
            <w:pPr>
              <w:pStyle w:val="Bullet1"/>
              <w:tabs>
                <w:tab w:val="clear" w:pos="360"/>
                <w:tab w:val="num" w:pos="397"/>
              </w:tabs>
              <w:ind w:left="397" w:hanging="397"/>
              <w:rPr>
                <w:rFonts w:ascii="Arial" w:hAnsi="Arial" w:cs="Arial"/>
                <w:szCs w:val="22"/>
              </w:rPr>
            </w:pPr>
            <w:r w:rsidRPr="00AD6EBD">
              <w:rPr>
                <w:rFonts w:ascii="Arial" w:hAnsi="Arial" w:cs="Arial"/>
                <w:szCs w:val="22"/>
              </w:rPr>
              <w:t>AIHW 2008. Linking SAAP, child protection and juvenile justice data collections: a feasibility study. Data linkage series no. 5. Cat. no. CSI 5. Canberra: AIHW.</w:t>
            </w:r>
          </w:p>
          <w:p w:rsidR="00F50568" w:rsidRPr="00AD6EBD" w:rsidRDefault="00F50568" w:rsidP="00F50568">
            <w:pPr>
              <w:pStyle w:val="Bullet1"/>
              <w:tabs>
                <w:tab w:val="clear" w:pos="360"/>
                <w:tab w:val="num" w:pos="397"/>
              </w:tabs>
              <w:ind w:left="397" w:hanging="397"/>
              <w:rPr>
                <w:rFonts w:ascii="Arial" w:hAnsi="Arial" w:cs="Arial"/>
                <w:szCs w:val="22"/>
              </w:rPr>
            </w:pPr>
            <w:r w:rsidRPr="00AD6EBD">
              <w:rPr>
                <w:rFonts w:ascii="Arial" w:hAnsi="Arial" w:cs="Arial"/>
                <w:szCs w:val="22"/>
              </w:rPr>
              <w:t>AIHW 2012. Children and young people at risk of social exclusion: links between homelessness, child protection and juvenile justice data. Data linkage series no. 13. Cat. no. CSI 13. Canberra: AIHW.</w:t>
            </w:r>
          </w:p>
          <w:p w:rsidR="00F50568" w:rsidRDefault="00F50568" w:rsidP="00F50568">
            <w:pPr>
              <w:pStyle w:val="Bullet1"/>
              <w:tabs>
                <w:tab w:val="clear" w:pos="360"/>
                <w:tab w:val="num" w:pos="397"/>
              </w:tabs>
              <w:ind w:left="397" w:hanging="397"/>
              <w:rPr>
                <w:rFonts w:ascii="Arial" w:hAnsi="Arial" w:cs="Arial"/>
                <w:szCs w:val="22"/>
              </w:rPr>
            </w:pPr>
            <w:r w:rsidRPr="00AD6EBD">
              <w:rPr>
                <w:rFonts w:ascii="Arial" w:hAnsi="Arial" w:cs="Arial"/>
                <w:szCs w:val="22"/>
              </w:rPr>
              <w:t>AIHW 2012. Linking SAAP, child protection and juvenile justice data: technical report. Data linkage series no. 14. Cat. no. CSI 14. Canberra: AIHW.</w:t>
            </w:r>
          </w:p>
          <w:p w:rsidR="00A655B6" w:rsidRPr="00AD6EBD" w:rsidRDefault="00A655B6" w:rsidP="007E5C85">
            <w:pPr>
              <w:pStyle w:val="Bullet1"/>
              <w:numPr>
                <w:ilvl w:val="0"/>
                <w:numId w:val="0"/>
              </w:numPr>
              <w:rPr>
                <w:rFonts w:ascii="Arial" w:hAnsi="Arial" w:cs="Arial"/>
                <w:szCs w:val="22"/>
              </w:rPr>
            </w:pPr>
          </w:p>
          <w:p w:rsidR="00A655B6" w:rsidRDefault="00CE542F" w:rsidP="009D2EBF">
            <w:pPr>
              <w:rPr>
                <w:szCs w:val="22"/>
              </w:rPr>
            </w:pPr>
            <w:r>
              <w:rPr>
                <w:sz w:val="22"/>
                <w:szCs w:val="22"/>
              </w:rPr>
              <w:t xml:space="preserve">In addition </w:t>
            </w:r>
            <w:r w:rsidR="00A655B6">
              <w:rPr>
                <w:sz w:val="22"/>
                <w:szCs w:val="22"/>
              </w:rPr>
              <w:t xml:space="preserve">the SHSC has been used in two other </w:t>
            </w:r>
            <w:r>
              <w:rPr>
                <w:sz w:val="22"/>
                <w:szCs w:val="22"/>
              </w:rPr>
              <w:t xml:space="preserve">recent </w:t>
            </w:r>
            <w:r w:rsidR="00A655B6">
              <w:rPr>
                <w:sz w:val="22"/>
                <w:szCs w:val="22"/>
              </w:rPr>
              <w:t xml:space="preserve">data linkage projects—SHSC Housing data linkage project and </w:t>
            </w:r>
            <w:r w:rsidR="00A655B6" w:rsidRPr="007E5C85">
              <w:rPr>
                <w:i/>
                <w:sz w:val="22"/>
                <w:szCs w:val="22"/>
              </w:rPr>
              <w:t>Connecting the Dots</w:t>
            </w:r>
            <w:r w:rsidR="00A655B6">
              <w:rPr>
                <w:sz w:val="22"/>
                <w:szCs w:val="22"/>
              </w:rPr>
              <w:t>:</w:t>
            </w:r>
          </w:p>
          <w:p w:rsidR="00F50568" w:rsidRDefault="00A655B6" w:rsidP="007E5C85">
            <w:pPr>
              <w:pStyle w:val="ListParagraph"/>
              <w:numPr>
                <w:ilvl w:val="0"/>
                <w:numId w:val="12"/>
              </w:numPr>
              <w:rPr>
                <w:szCs w:val="22"/>
              </w:rPr>
            </w:pPr>
            <w:r w:rsidRPr="00A655B6">
              <w:rPr>
                <w:sz w:val="22"/>
                <w:szCs w:val="22"/>
              </w:rPr>
              <w:t xml:space="preserve">The SHSC Housing data linkage project </w:t>
            </w:r>
            <w:r w:rsidR="00CE542F">
              <w:rPr>
                <w:sz w:val="22"/>
                <w:szCs w:val="22"/>
              </w:rPr>
              <w:t xml:space="preserve">is currently being undertaken and </w:t>
            </w:r>
            <w:r w:rsidRPr="00A655B6">
              <w:rPr>
                <w:sz w:val="22"/>
                <w:szCs w:val="22"/>
              </w:rPr>
              <w:t xml:space="preserve">involves SHSC data being linked with NSW and WA </w:t>
            </w:r>
            <w:r>
              <w:rPr>
                <w:sz w:val="22"/>
                <w:szCs w:val="22"/>
              </w:rPr>
              <w:t>data for various social housing programs so that patterns of service usage for people who receive services under both programs can be understood and other aspects of these clients groups can be investigated.</w:t>
            </w:r>
            <w:r w:rsidRPr="00A655B6">
              <w:rPr>
                <w:sz w:val="22"/>
                <w:szCs w:val="22"/>
              </w:rPr>
              <w:t xml:space="preserve"> </w:t>
            </w:r>
          </w:p>
          <w:p w:rsidR="00A655B6" w:rsidRPr="007E5C85" w:rsidRDefault="00A655B6" w:rsidP="00A655B6">
            <w:pPr>
              <w:rPr>
                <w:szCs w:val="22"/>
              </w:rPr>
            </w:pPr>
          </w:p>
          <w:p w:rsidR="00A655B6" w:rsidRDefault="00A655B6" w:rsidP="007E5C85">
            <w:pPr>
              <w:pStyle w:val="ListParagraph"/>
              <w:numPr>
                <w:ilvl w:val="0"/>
                <w:numId w:val="12"/>
              </w:numPr>
              <w:rPr>
                <w:szCs w:val="22"/>
              </w:rPr>
            </w:pPr>
            <w:r w:rsidRPr="007E5C85">
              <w:rPr>
                <w:i/>
                <w:sz w:val="22"/>
                <w:szCs w:val="22"/>
              </w:rPr>
              <w:t>Connecting the dots</w:t>
            </w:r>
            <w:r>
              <w:rPr>
                <w:sz w:val="22"/>
                <w:szCs w:val="22"/>
              </w:rPr>
              <w:t xml:space="preserve"> was a joint study </w:t>
            </w:r>
            <w:r w:rsidRPr="00A655B6">
              <w:rPr>
                <w:sz w:val="22"/>
                <w:szCs w:val="22"/>
              </w:rPr>
              <w:t xml:space="preserve">between the </w:t>
            </w:r>
            <w:r>
              <w:rPr>
                <w:sz w:val="22"/>
                <w:szCs w:val="22"/>
              </w:rPr>
              <w:t xml:space="preserve">former </w:t>
            </w:r>
            <w:r w:rsidRPr="00A655B6">
              <w:rPr>
                <w:sz w:val="22"/>
                <w:szCs w:val="22"/>
              </w:rPr>
              <w:t>Department</w:t>
            </w:r>
            <w:r>
              <w:rPr>
                <w:sz w:val="22"/>
                <w:szCs w:val="22"/>
              </w:rPr>
              <w:t>s (</w:t>
            </w:r>
            <w:r w:rsidRPr="00A655B6">
              <w:rPr>
                <w:sz w:val="22"/>
                <w:szCs w:val="22"/>
              </w:rPr>
              <w:t>Families, Housing, Community Services and Indigenous Affairs, Department of Education, Employment and Workplace Relations, Department of Human Services</w:t>
            </w:r>
            <w:r>
              <w:rPr>
                <w:sz w:val="22"/>
                <w:szCs w:val="22"/>
              </w:rPr>
              <w:t>)</w:t>
            </w:r>
            <w:r w:rsidRPr="00A655B6">
              <w:rPr>
                <w:sz w:val="22"/>
                <w:szCs w:val="22"/>
              </w:rPr>
              <w:t xml:space="preserve"> and AIHW</w:t>
            </w:r>
            <w:r>
              <w:rPr>
                <w:sz w:val="22"/>
                <w:szCs w:val="22"/>
              </w:rPr>
              <w:t>.</w:t>
            </w:r>
          </w:p>
          <w:p w:rsidR="00A655B6" w:rsidRPr="007E5C85" w:rsidRDefault="00A655B6" w:rsidP="007E5C85">
            <w:pPr>
              <w:pStyle w:val="ListParagraph"/>
              <w:rPr>
                <w:szCs w:val="22"/>
              </w:rPr>
            </w:pPr>
          </w:p>
          <w:p w:rsidR="00A655B6" w:rsidRPr="00A655B6" w:rsidRDefault="00A655B6" w:rsidP="007E5C85">
            <w:pPr>
              <w:pStyle w:val="ListParagraph"/>
              <w:numPr>
                <w:ilvl w:val="0"/>
                <w:numId w:val="12"/>
              </w:numPr>
              <w:rPr>
                <w:szCs w:val="22"/>
              </w:rPr>
            </w:pPr>
            <w:r>
              <w:rPr>
                <w:sz w:val="22"/>
                <w:szCs w:val="22"/>
              </w:rPr>
              <w:t xml:space="preserve">This study linked SHSC data with Centrelink and </w:t>
            </w:r>
            <w:r w:rsidRPr="00A655B6">
              <w:rPr>
                <w:sz w:val="22"/>
                <w:szCs w:val="22"/>
              </w:rPr>
              <w:t xml:space="preserve">employment services </w:t>
            </w:r>
            <w:r>
              <w:rPr>
                <w:sz w:val="22"/>
                <w:szCs w:val="22"/>
              </w:rPr>
              <w:t xml:space="preserve">data </w:t>
            </w:r>
            <w:r w:rsidR="00BA2C3E">
              <w:rPr>
                <w:sz w:val="22"/>
                <w:szCs w:val="22"/>
              </w:rPr>
              <w:t>so that it could be understood how employment and income support services could better work together for people who are experiencing homelessness or at risk of homelessness.</w:t>
            </w:r>
          </w:p>
          <w:p w:rsidR="009D2EBF" w:rsidRPr="00391DCE" w:rsidRDefault="009D2EBF" w:rsidP="009D2EBF">
            <w:pPr>
              <w:rPr>
                <w:szCs w:val="22"/>
              </w:rPr>
            </w:pPr>
          </w:p>
        </w:tc>
      </w:tr>
      <w:tr w:rsidR="007C00D5" w:rsidRPr="000D667C" w:rsidTr="00C41D17">
        <w:tc>
          <w:tcPr>
            <w:tcW w:w="567" w:type="dxa"/>
          </w:tcPr>
          <w:p w:rsidR="007C00D5" w:rsidRPr="000D667C" w:rsidRDefault="007C00D5" w:rsidP="008946EF">
            <w:pPr>
              <w:spacing w:before="120"/>
              <w:rPr>
                <w:szCs w:val="22"/>
              </w:rPr>
            </w:pPr>
            <w:r w:rsidRPr="000D667C">
              <w:rPr>
                <w:sz w:val="22"/>
                <w:szCs w:val="22"/>
              </w:rPr>
              <w:lastRenderedPageBreak/>
              <w:t>7.</w:t>
            </w:r>
          </w:p>
        </w:tc>
        <w:tc>
          <w:tcPr>
            <w:tcW w:w="8505" w:type="dxa"/>
          </w:tcPr>
          <w:p w:rsidR="007C00D5" w:rsidRPr="00391DCE" w:rsidRDefault="007E0343" w:rsidP="008946EF">
            <w:pPr>
              <w:spacing w:before="120"/>
              <w:rPr>
                <w:szCs w:val="22"/>
              </w:rPr>
            </w:pPr>
            <w:r w:rsidRPr="00391DCE">
              <w:rPr>
                <w:sz w:val="22"/>
                <w:szCs w:val="22"/>
              </w:rPr>
              <w:t>Support for this p</w:t>
            </w:r>
            <w:r w:rsidR="007C00D5" w:rsidRPr="00391DCE">
              <w:rPr>
                <w:sz w:val="22"/>
                <w:szCs w:val="22"/>
              </w:rPr>
              <w:t xml:space="preserve">roject by </w:t>
            </w:r>
            <w:r w:rsidRPr="00391DCE">
              <w:rPr>
                <w:sz w:val="22"/>
                <w:szCs w:val="22"/>
              </w:rPr>
              <w:t>other jurisdictions or principal committees</w:t>
            </w:r>
          </w:p>
          <w:p w:rsidR="007C00D5" w:rsidRPr="00391DCE" w:rsidRDefault="007C00D5" w:rsidP="00C41D17">
            <w:pPr>
              <w:rPr>
                <w:szCs w:val="22"/>
              </w:rPr>
            </w:pPr>
          </w:p>
          <w:p w:rsidR="007C00D5" w:rsidRPr="007E5C85" w:rsidRDefault="00AD6EBD" w:rsidP="00C41D17">
            <w:pPr>
              <w:rPr>
                <w:szCs w:val="22"/>
              </w:rPr>
            </w:pPr>
            <w:r w:rsidRPr="00AD6EBD">
              <w:rPr>
                <w:sz w:val="22"/>
                <w:szCs w:val="22"/>
              </w:rPr>
              <w:t xml:space="preserve">The proposal is supported by the Australasian Juvenile Justice Administrators (AJJA) and the </w:t>
            </w:r>
            <w:r w:rsidR="00D1336A" w:rsidRPr="007E5C85">
              <w:rPr>
                <w:sz w:val="22"/>
                <w:szCs w:val="22"/>
              </w:rPr>
              <w:t>Housing and Homelessness Policy and Data Working Group.</w:t>
            </w:r>
          </w:p>
          <w:p w:rsidR="009D2EBF" w:rsidRPr="00391DCE" w:rsidRDefault="009D2EBF" w:rsidP="00C41D17">
            <w:pPr>
              <w:rPr>
                <w:szCs w:val="22"/>
              </w:rPr>
            </w:pPr>
          </w:p>
        </w:tc>
      </w:tr>
    </w:tbl>
    <w:p w:rsidR="000D0925" w:rsidRDefault="000D0925"/>
    <w:p w:rsidR="00391DCE" w:rsidRDefault="00391DCE"/>
    <w:p w:rsidR="00391DCE" w:rsidRPr="007E0343" w:rsidRDefault="00BB53D5" w:rsidP="00391DCE">
      <w:pPr>
        <w:rPr>
          <w:b/>
          <w:sz w:val="28"/>
          <w:szCs w:val="28"/>
        </w:rPr>
      </w:pPr>
      <w:r>
        <w:rPr>
          <w:b/>
          <w:sz w:val="28"/>
          <w:szCs w:val="28"/>
        </w:rPr>
        <w:t>Part B</w:t>
      </w:r>
      <w:r w:rsidR="00391DCE" w:rsidRPr="007E0343">
        <w:rPr>
          <w:b/>
          <w:sz w:val="28"/>
          <w:szCs w:val="28"/>
        </w:rPr>
        <w:t xml:space="preserve"> – </w:t>
      </w:r>
      <w:r w:rsidR="0073491A">
        <w:rPr>
          <w:b/>
          <w:sz w:val="28"/>
          <w:szCs w:val="28"/>
        </w:rPr>
        <w:t>Secretariat and p</w:t>
      </w:r>
      <w:r w:rsidR="00391DCE" w:rsidRPr="007E0343">
        <w:rPr>
          <w:b/>
          <w:sz w:val="28"/>
          <w:szCs w:val="28"/>
        </w:rPr>
        <w:t>roject funding</w:t>
      </w:r>
      <w:r>
        <w:rPr>
          <w:b/>
          <w:sz w:val="28"/>
          <w:szCs w:val="28"/>
        </w:rPr>
        <w:t xml:space="preserve"> costs</w:t>
      </w:r>
    </w:p>
    <w:p w:rsidR="00391DCE" w:rsidRDefault="00391DCE"/>
    <w:p w:rsidR="007C00D5" w:rsidRPr="00DD58B2" w:rsidRDefault="007C00D5" w:rsidP="007C00D5">
      <w:pPr>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402"/>
        <w:gridCol w:w="1417"/>
        <w:gridCol w:w="1560"/>
      </w:tblGrid>
      <w:tr w:rsidR="00BB53D5" w:rsidRPr="0058340A" w:rsidTr="00BB53D5">
        <w:trPr>
          <w:cantSplit/>
        </w:trPr>
        <w:tc>
          <w:tcPr>
            <w:tcW w:w="2552" w:type="dxa"/>
          </w:tcPr>
          <w:p w:rsidR="00BB53D5" w:rsidRPr="0058340A" w:rsidRDefault="00BB53D5" w:rsidP="0058340A">
            <w:pPr>
              <w:rPr>
                <w:szCs w:val="22"/>
              </w:rPr>
            </w:pPr>
          </w:p>
        </w:tc>
        <w:tc>
          <w:tcPr>
            <w:tcW w:w="3402" w:type="dxa"/>
          </w:tcPr>
          <w:p w:rsidR="00BB53D5" w:rsidRPr="0058340A" w:rsidRDefault="00BB53D5" w:rsidP="0058340A">
            <w:pPr>
              <w:spacing w:before="240" w:after="240"/>
              <w:jc w:val="center"/>
              <w:rPr>
                <w:b/>
                <w:szCs w:val="22"/>
              </w:rPr>
            </w:pPr>
            <w:r w:rsidRPr="0058340A">
              <w:rPr>
                <w:b/>
                <w:sz w:val="22"/>
                <w:szCs w:val="22"/>
              </w:rPr>
              <w:t>Description</w:t>
            </w:r>
          </w:p>
        </w:tc>
        <w:tc>
          <w:tcPr>
            <w:tcW w:w="1417" w:type="dxa"/>
            <w:shd w:val="clear" w:color="auto" w:fill="auto"/>
          </w:tcPr>
          <w:p w:rsidR="00BB53D5" w:rsidRPr="0058340A" w:rsidRDefault="00BB53D5" w:rsidP="0058340A">
            <w:pPr>
              <w:spacing w:before="120"/>
              <w:jc w:val="center"/>
              <w:rPr>
                <w:szCs w:val="22"/>
              </w:rPr>
            </w:pPr>
            <w:r w:rsidRPr="0058340A">
              <w:rPr>
                <w:sz w:val="22"/>
                <w:szCs w:val="22"/>
              </w:rPr>
              <w:t>2014–15</w:t>
            </w:r>
          </w:p>
          <w:p w:rsidR="00BB53D5" w:rsidRPr="0058340A" w:rsidRDefault="00BB53D5" w:rsidP="0058340A">
            <w:pPr>
              <w:jc w:val="center"/>
              <w:rPr>
                <w:szCs w:val="22"/>
              </w:rPr>
            </w:pPr>
            <w:r w:rsidRPr="0058340A">
              <w:rPr>
                <w:sz w:val="22"/>
                <w:szCs w:val="22"/>
              </w:rPr>
              <w:t>$</w:t>
            </w:r>
          </w:p>
        </w:tc>
        <w:tc>
          <w:tcPr>
            <w:tcW w:w="1560" w:type="dxa"/>
          </w:tcPr>
          <w:p w:rsidR="00BB53D5" w:rsidRPr="0058340A" w:rsidRDefault="00BB53D5" w:rsidP="0058340A">
            <w:pPr>
              <w:spacing w:before="120"/>
              <w:jc w:val="center"/>
              <w:rPr>
                <w:szCs w:val="22"/>
              </w:rPr>
            </w:pPr>
            <w:r w:rsidRPr="0058340A">
              <w:rPr>
                <w:sz w:val="22"/>
                <w:szCs w:val="22"/>
              </w:rPr>
              <w:t>2015–16</w:t>
            </w:r>
          </w:p>
          <w:p w:rsidR="00BB53D5" w:rsidRPr="0058340A" w:rsidRDefault="00BB53D5" w:rsidP="0058340A">
            <w:pPr>
              <w:jc w:val="center"/>
              <w:rPr>
                <w:szCs w:val="22"/>
              </w:rPr>
            </w:pPr>
            <w:r w:rsidRPr="0058340A">
              <w:rPr>
                <w:sz w:val="22"/>
                <w:szCs w:val="22"/>
              </w:rPr>
              <w:t>$</w:t>
            </w:r>
          </w:p>
          <w:p w:rsidR="00BB53D5" w:rsidRPr="0058340A"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58340A">
            <w:pPr>
              <w:rPr>
                <w:szCs w:val="22"/>
              </w:rPr>
            </w:pPr>
          </w:p>
          <w:p w:rsidR="00BB53D5" w:rsidRPr="0058340A" w:rsidRDefault="00BB53D5" w:rsidP="0058340A">
            <w:pPr>
              <w:ind w:left="34" w:hanging="34"/>
              <w:rPr>
                <w:szCs w:val="22"/>
              </w:rPr>
            </w:pPr>
            <w:r w:rsidRPr="0058340A">
              <w:rPr>
                <w:sz w:val="22"/>
                <w:szCs w:val="22"/>
              </w:rPr>
              <w:t>Secretariat for a sub-committee or Working Group</w:t>
            </w:r>
          </w:p>
          <w:p w:rsidR="00BB53D5" w:rsidRPr="0058340A" w:rsidRDefault="00BB53D5" w:rsidP="0058340A">
            <w:pPr>
              <w:rPr>
                <w:i/>
                <w:szCs w:val="22"/>
              </w:rPr>
            </w:pPr>
            <w:r w:rsidRPr="0058340A">
              <w:rPr>
                <w:i/>
                <w:sz w:val="22"/>
                <w:szCs w:val="22"/>
              </w:rPr>
              <w:t>(FTE calculation)</w:t>
            </w:r>
          </w:p>
          <w:p w:rsidR="00BB53D5" w:rsidRPr="0058340A" w:rsidRDefault="00BB53D5" w:rsidP="0058340A">
            <w:pPr>
              <w:rPr>
                <w:szCs w:val="22"/>
              </w:rPr>
            </w:pP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58340A">
            <w:pPr>
              <w:spacing w:before="120" w:after="120"/>
              <w:rPr>
                <w:szCs w:val="22"/>
              </w:rPr>
            </w:pPr>
            <w:r w:rsidRPr="0058340A">
              <w:rPr>
                <w:sz w:val="22"/>
                <w:szCs w:val="22"/>
              </w:rPr>
              <w:t>Administrative costs</w:t>
            </w:r>
          </w:p>
          <w:p w:rsidR="00BB53D5" w:rsidRPr="0058340A" w:rsidRDefault="00BB53D5" w:rsidP="0058340A">
            <w:pPr>
              <w:rPr>
                <w:szCs w:val="22"/>
              </w:rPr>
            </w:pP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58340A">
            <w:pPr>
              <w:spacing w:before="120" w:after="120"/>
              <w:rPr>
                <w:szCs w:val="22"/>
              </w:rPr>
            </w:pPr>
            <w:r w:rsidRPr="0058340A">
              <w:rPr>
                <w:sz w:val="22"/>
                <w:szCs w:val="22"/>
              </w:rPr>
              <w:t>Travel</w:t>
            </w:r>
          </w:p>
          <w:p w:rsidR="00BB53D5" w:rsidRPr="0058340A" w:rsidRDefault="00BB53D5" w:rsidP="0058340A">
            <w:pPr>
              <w:rPr>
                <w:szCs w:val="22"/>
              </w:rPr>
            </w:pP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58340A">
            <w:pPr>
              <w:spacing w:before="120" w:after="120"/>
              <w:rPr>
                <w:szCs w:val="22"/>
              </w:rPr>
            </w:pPr>
            <w:r w:rsidRPr="0058340A">
              <w:rPr>
                <w:sz w:val="22"/>
                <w:szCs w:val="22"/>
              </w:rPr>
              <w:t>Meetings</w:t>
            </w:r>
          </w:p>
          <w:p w:rsidR="00BB53D5" w:rsidRPr="0058340A" w:rsidRDefault="00BB53D5" w:rsidP="0058340A">
            <w:pPr>
              <w:rPr>
                <w:szCs w:val="22"/>
              </w:rPr>
            </w:pP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73491A" w:rsidRDefault="00BB53D5" w:rsidP="0058340A">
            <w:pPr>
              <w:spacing w:before="120" w:after="120"/>
              <w:rPr>
                <w:b/>
                <w:szCs w:val="22"/>
              </w:rPr>
            </w:pPr>
            <w:r w:rsidRPr="0073491A">
              <w:rPr>
                <w:b/>
                <w:sz w:val="22"/>
                <w:szCs w:val="22"/>
              </w:rPr>
              <w:t>Total secretariat costs</w:t>
            </w: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F50568" w:rsidRPr="0058340A" w:rsidTr="00F50568">
        <w:tc>
          <w:tcPr>
            <w:tcW w:w="2552" w:type="dxa"/>
            <w:vAlign w:val="bottom"/>
          </w:tcPr>
          <w:p w:rsidR="00F50568" w:rsidRPr="0058340A" w:rsidRDefault="00F50568" w:rsidP="0058340A">
            <w:pPr>
              <w:rPr>
                <w:szCs w:val="22"/>
              </w:rPr>
            </w:pPr>
          </w:p>
          <w:p w:rsidR="00F50568" w:rsidRPr="0058340A" w:rsidRDefault="00F50568" w:rsidP="0058340A">
            <w:pPr>
              <w:rPr>
                <w:szCs w:val="22"/>
              </w:rPr>
            </w:pPr>
          </w:p>
          <w:p w:rsidR="00F50568" w:rsidRPr="0058340A" w:rsidRDefault="00F50568" w:rsidP="0058340A">
            <w:pPr>
              <w:rPr>
                <w:szCs w:val="22"/>
              </w:rPr>
            </w:pPr>
            <w:r w:rsidRPr="0058340A">
              <w:rPr>
                <w:sz w:val="22"/>
                <w:szCs w:val="22"/>
              </w:rPr>
              <w:t>Work program</w:t>
            </w:r>
          </w:p>
          <w:p w:rsidR="00F50568" w:rsidRPr="0058340A" w:rsidRDefault="00F50568" w:rsidP="0058340A">
            <w:pPr>
              <w:rPr>
                <w:szCs w:val="22"/>
              </w:rPr>
            </w:pPr>
          </w:p>
          <w:p w:rsidR="00F50568" w:rsidRPr="0058340A" w:rsidRDefault="00F50568" w:rsidP="0058340A">
            <w:pPr>
              <w:rPr>
                <w:szCs w:val="22"/>
              </w:rPr>
            </w:pPr>
          </w:p>
        </w:tc>
        <w:tc>
          <w:tcPr>
            <w:tcW w:w="3402" w:type="dxa"/>
          </w:tcPr>
          <w:p w:rsidR="00F50568" w:rsidRPr="0058340A" w:rsidRDefault="00F50568" w:rsidP="0058340A">
            <w:pPr>
              <w:rPr>
                <w:szCs w:val="22"/>
              </w:rPr>
            </w:pPr>
          </w:p>
        </w:tc>
        <w:tc>
          <w:tcPr>
            <w:tcW w:w="1417" w:type="dxa"/>
            <w:shd w:val="clear" w:color="auto" w:fill="auto"/>
            <w:vAlign w:val="center"/>
          </w:tcPr>
          <w:p w:rsidR="00F50568" w:rsidRPr="0058340A" w:rsidRDefault="00F50568" w:rsidP="008C55AD">
            <w:pPr>
              <w:rPr>
                <w:szCs w:val="22"/>
              </w:rPr>
            </w:pPr>
            <w:r w:rsidRPr="0058340A">
              <w:rPr>
                <w:sz w:val="22"/>
                <w:szCs w:val="22"/>
              </w:rPr>
              <w:t>$</w:t>
            </w:r>
            <w:r w:rsidR="008C55AD">
              <w:rPr>
                <w:sz w:val="22"/>
                <w:szCs w:val="22"/>
              </w:rPr>
              <w:t>141,800</w:t>
            </w:r>
          </w:p>
        </w:tc>
        <w:tc>
          <w:tcPr>
            <w:tcW w:w="1560" w:type="dxa"/>
            <w:vAlign w:val="center"/>
          </w:tcPr>
          <w:p w:rsidR="00F50568" w:rsidRPr="0058340A" w:rsidRDefault="00F50568" w:rsidP="008C55AD">
            <w:pPr>
              <w:rPr>
                <w:szCs w:val="22"/>
              </w:rPr>
            </w:pPr>
            <w:r w:rsidRPr="0058340A">
              <w:rPr>
                <w:sz w:val="22"/>
                <w:szCs w:val="22"/>
              </w:rPr>
              <w:t>$</w:t>
            </w:r>
            <w:r w:rsidR="008C55AD">
              <w:rPr>
                <w:sz w:val="22"/>
                <w:szCs w:val="22"/>
              </w:rPr>
              <w:t>54,300</w:t>
            </w:r>
          </w:p>
        </w:tc>
      </w:tr>
      <w:tr w:rsidR="008C55AD" w:rsidRPr="0058340A" w:rsidTr="00BB53D5">
        <w:tc>
          <w:tcPr>
            <w:tcW w:w="2552" w:type="dxa"/>
            <w:vAlign w:val="center"/>
          </w:tcPr>
          <w:p w:rsidR="008C55AD" w:rsidRPr="0058340A" w:rsidRDefault="008C55AD" w:rsidP="0058340A">
            <w:pPr>
              <w:ind w:left="426" w:hanging="426"/>
              <w:rPr>
                <w:szCs w:val="22"/>
              </w:rPr>
            </w:pPr>
          </w:p>
          <w:p w:rsidR="008C55AD" w:rsidRPr="0073491A" w:rsidRDefault="008C55AD" w:rsidP="0058340A">
            <w:pPr>
              <w:ind w:left="426" w:hanging="426"/>
              <w:jc w:val="right"/>
              <w:rPr>
                <w:b/>
                <w:szCs w:val="22"/>
              </w:rPr>
            </w:pPr>
            <w:r w:rsidRPr="0073491A">
              <w:rPr>
                <w:b/>
                <w:sz w:val="22"/>
                <w:szCs w:val="22"/>
              </w:rPr>
              <w:t>Total project costs</w:t>
            </w:r>
          </w:p>
          <w:p w:rsidR="008C55AD" w:rsidRPr="0058340A" w:rsidRDefault="008C55AD" w:rsidP="0058340A">
            <w:pPr>
              <w:ind w:left="426" w:hanging="426"/>
              <w:rPr>
                <w:szCs w:val="22"/>
              </w:rPr>
            </w:pPr>
            <w:r w:rsidRPr="0058340A">
              <w:rPr>
                <w:sz w:val="22"/>
                <w:szCs w:val="22"/>
              </w:rPr>
              <w:t xml:space="preserve"> </w:t>
            </w:r>
          </w:p>
        </w:tc>
        <w:tc>
          <w:tcPr>
            <w:tcW w:w="3402" w:type="dxa"/>
          </w:tcPr>
          <w:p w:rsidR="008C55AD" w:rsidRPr="0058340A" w:rsidRDefault="008C55AD" w:rsidP="0058340A">
            <w:pPr>
              <w:rPr>
                <w:szCs w:val="22"/>
              </w:rPr>
            </w:pPr>
          </w:p>
        </w:tc>
        <w:tc>
          <w:tcPr>
            <w:tcW w:w="1417" w:type="dxa"/>
            <w:shd w:val="clear" w:color="auto" w:fill="auto"/>
            <w:vAlign w:val="center"/>
          </w:tcPr>
          <w:p w:rsidR="008C55AD" w:rsidRPr="0058340A" w:rsidRDefault="008C55AD" w:rsidP="0058340A">
            <w:pPr>
              <w:rPr>
                <w:szCs w:val="22"/>
              </w:rPr>
            </w:pPr>
            <w:r w:rsidRPr="0058340A">
              <w:rPr>
                <w:sz w:val="22"/>
                <w:szCs w:val="22"/>
              </w:rPr>
              <w:t>$</w:t>
            </w:r>
            <w:r>
              <w:rPr>
                <w:sz w:val="22"/>
                <w:szCs w:val="22"/>
              </w:rPr>
              <w:t>141,800</w:t>
            </w:r>
          </w:p>
        </w:tc>
        <w:tc>
          <w:tcPr>
            <w:tcW w:w="1560" w:type="dxa"/>
            <w:vAlign w:val="center"/>
          </w:tcPr>
          <w:p w:rsidR="008C55AD" w:rsidRPr="0058340A" w:rsidRDefault="008C55AD" w:rsidP="0058340A">
            <w:pPr>
              <w:rPr>
                <w:szCs w:val="22"/>
              </w:rPr>
            </w:pPr>
            <w:r w:rsidRPr="0058340A">
              <w:rPr>
                <w:sz w:val="22"/>
                <w:szCs w:val="22"/>
              </w:rPr>
              <w:t>$</w:t>
            </w:r>
            <w:r>
              <w:rPr>
                <w:sz w:val="22"/>
                <w:szCs w:val="22"/>
              </w:rPr>
              <w:t>54,300</w:t>
            </w:r>
          </w:p>
        </w:tc>
      </w:tr>
      <w:tr w:rsidR="00F50568" w:rsidRPr="0058340A" w:rsidTr="00BB53D5">
        <w:tc>
          <w:tcPr>
            <w:tcW w:w="2552" w:type="dxa"/>
          </w:tcPr>
          <w:p w:rsidR="00F50568" w:rsidRPr="0058340A" w:rsidRDefault="00F50568" w:rsidP="0058340A">
            <w:pPr>
              <w:spacing w:before="120"/>
              <w:rPr>
                <w:szCs w:val="22"/>
              </w:rPr>
            </w:pPr>
            <w:r w:rsidRPr="0058340A">
              <w:rPr>
                <w:sz w:val="22"/>
                <w:szCs w:val="22"/>
              </w:rPr>
              <w:t>Resources provided by sponsoring jurisdiction if relevant.</w:t>
            </w:r>
          </w:p>
          <w:p w:rsidR="00F50568" w:rsidRPr="0058340A" w:rsidRDefault="00F50568" w:rsidP="0058340A">
            <w:pPr>
              <w:rPr>
                <w:i/>
                <w:szCs w:val="22"/>
              </w:rPr>
            </w:pPr>
            <w:r w:rsidRPr="0058340A">
              <w:rPr>
                <w:i/>
                <w:sz w:val="22"/>
                <w:szCs w:val="22"/>
              </w:rPr>
              <w:t>(e.g. secretariat/ administrative support)</w:t>
            </w:r>
          </w:p>
          <w:p w:rsidR="00F50568" w:rsidRPr="0058340A" w:rsidRDefault="00F50568" w:rsidP="0058340A">
            <w:pPr>
              <w:ind w:left="426" w:hanging="426"/>
              <w:rPr>
                <w:szCs w:val="22"/>
              </w:rPr>
            </w:pPr>
          </w:p>
        </w:tc>
        <w:tc>
          <w:tcPr>
            <w:tcW w:w="3402" w:type="dxa"/>
          </w:tcPr>
          <w:p w:rsidR="00F50568" w:rsidRPr="0058340A" w:rsidRDefault="00F50568" w:rsidP="0058340A">
            <w:pPr>
              <w:rPr>
                <w:szCs w:val="22"/>
              </w:rPr>
            </w:pPr>
          </w:p>
        </w:tc>
        <w:tc>
          <w:tcPr>
            <w:tcW w:w="1417" w:type="dxa"/>
            <w:shd w:val="clear" w:color="auto" w:fill="auto"/>
          </w:tcPr>
          <w:p w:rsidR="00F50568" w:rsidRPr="0058340A" w:rsidRDefault="00F50568" w:rsidP="0058340A">
            <w:pPr>
              <w:rPr>
                <w:szCs w:val="22"/>
              </w:rPr>
            </w:pPr>
          </w:p>
        </w:tc>
        <w:tc>
          <w:tcPr>
            <w:tcW w:w="1560" w:type="dxa"/>
          </w:tcPr>
          <w:p w:rsidR="00F50568" w:rsidRPr="0058340A" w:rsidRDefault="00F50568" w:rsidP="0058340A">
            <w:pPr>
              <w:rPr>
                <w:szCs w:val="22"/>
              </w:rPr>
            </w:pPr>
          </w:p>
        </w:tc>
      </w:tr>
    </w:tbl>
    <w:p w:rsidR="0058340A" w:rsidRPr="0058340A" w:rsidRDefault="0058340A" w:rsidP="0058340A">
      <w:pPr>
        <w:rPr>
          <w:sz w:val="22"/>
          <w:szCs w:val="22"/>
        </w:rPr>
      </w:pPr>
    </w:p>
    <w:p w:rsidR="005E2325" w:rsidRDefault="005E2325" w:rsidP="0058340A">
      <w:pPr>
        <w:spacing w:after="200" w:line="276" w:lineRule="auto"/>
        <w:rPr>
          <w:sz w:val="22"/>
          <w:szCs w:val="22"/>
        </w:rPr>
      </w:pPr>
    </w:p>
    <w:p w:rsidR="00AD6EBD" w:rsidRPr="00AD6EBD" w:rsidRDefault="00AD6EBD" w:rsidP="00BF67C0">
      <w:pPr>
        <w:spacing w:after="200" w:line="276" w:lineRule="auto"/>
        <w:rPr>
          <w:sz w:val="22"/>
          <w:szCs w:val="22"/>
        </w:rPr>
      </w:pPr>
    </w:p>
    <w:sectPr w:rsidR="00AD6EBD" w:rsidRPr="00AD6EBD" w:rsidSect="009E707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85" w:rsidRDefault="007E5C85" w:rsidP="0073491A">
      <w:r>
        <w:separator/>
      </w:r>
    </w:p>
  </w:endnote>
  <w:endnote w:type="continuationSeparator" w:id="0">
    <w:p w:rsidR="007E5C85" w:rsidRDefault="007E5C85" w:rsidP="00734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17748"/>
      <w:docPartObj>
        <w:docPartGallery w:val="Page Numbers (Bottom of Page)"/>
        <w:docPartUnique/>
      </w:docPartObj>
    </w:sdtPr>
    <w:sdtEndPr>
      <w:rPr>
        <w:noProof/>
      </w:rPr>
    </w:sdtEndPr>
    <w:sdtContent>
      <w:p w:rsidR="007E5C85" w:rsidRDefault="009E707F">
        <w:pPr>
          <w:pStyle w:val="Footer"/>
          <w:jc w:val="center"/>
        </w:pPr>
        <w:r>
          <w:fldChar w:fldCharType="begin"/>
        </w:r>
        <w:r w:rsidR="007E5C85">
          <w:instrText xml:space="preserve"> PAGE   \* MERGEFORMAT </w:instrText>
        </w:r>
        <w:r>
          <w:fldChar w:fldCharType="separate"/>
        </w:r>
        <w:r w:rsidR="00F74FE4">
          <w:rPr>
            <w:noProof/>
          </w:rPr>
          <w:t>4</w:t>
        </w:r>
        <w:r>
          <w:rPr>
            <w:noProof/>
          </w:rPr>
          <w:fldChar w:fldCharType="end"/>
        </w:r>
      </w:p>
    </w:sdtContent>
  </w:sdt>
  <w:p w:rsidR="007E5C85" w:rsidRDefault="007E5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85" w:rsidRDefault="007E5C85" w:rsidP="0073491A">
      <w:r>
        <w:separator/>
      </w:r>
    </w:p>
  </w:footnote>
  <w:footnote w:type="continuationSeparator" w:id="0">
    <w:p w:rsidR="007E5C85" w:rsidRDefault="007E5C85" w:rsidP="00734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5E8"/>
    <w:multiLevelType w:val="hybridMultilevel"/>
    <w:tmpl w:val="EFE6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EE3E28"/>
    <w:multiLevelType w:val="hybridMultilevel"/>
    <w:tmpl w:val="AB382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E57209F"/>
    <w:multiLevelType w:val="hybridMultilevel"/>
    <w:tmpl w:val="D69239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D02602B"/>
    <w:multiLevelType w:val="hybridMultilevel"/>
    <w:tmpl w:val="39AA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1D66B1"/>
    <w:multiLevelType w:val="hybridMultilevel"/>
    <w:tmpl w:val="A9E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962CF9"/>
    <w:multiLevelType w:val="hybridMultilevel"/>
    <w:tmpl w:val="1A70B288"/>
    <w:lvl w:ilvl="0" w:tplc="6136CCB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34D31B3"/>
    <w:multiLevelType w:val="hybridMultilevel"/>
    <w:tmpl w:val="A3B85AF2"/>
    <w:lvl w:ilvl="0" w:tplc="6136CCB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B122BDD"/>
    <w:multiLevelType w:val="hybridMultilevel"/>
    <w:tmpl w:val="EC6CA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0B452A8"/>
    <w:multiLevelType w:val="hybridMultilevel"/>
    <w:tmpl w:val="9C4CB1DC"/>
    <w:lvl w:ilvl="0" w:tplc="6136CCB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B7B7907"/>
    <w:multiLevelType w:val="hybridMultilevel"/>
    <w:tmpl w:val="CAD022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EF1FF9"/>
    <w:multiLevelType w:val="hybridMultilevel"/>
    <w:tmpl w:val="B3287B90"/>
    <w:lvl w:ilvl="0" w:tplc="B8F4EC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5"/>
  </w:num>
  <w:num w:numId="6">
    <w:abstractNumId w:val="3"/>
  </w:num>
  <w:num w:numId="7">
    <w:abstractNumId w:val="1"/>
  </w:num>
  <w:num w:numId="8">
    <w:abstractNumId w:val="2"/>
  </w:num>
  <w:num w:numId="9">
    <w:abstractNumId w:val="11"/>
  </w:num>
  <w:num w:numId="10">
    <w:abstractNumId w:val="1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C00D5"/>
    <w:rsid w:val="00034E5F"/>
    <w:rsid w:val="00090CEB"/>
    <w:rsid w:val="00092879"/>
    <w:rsid w:val="000D0925"/>
    <w:rsid w:val="000E5287"/>
    <w:rsid w:val="000F4C5E"/>
    <w:rsid w:val="001830C7"/>
    <w:rsid w:val="00207BA9"/>
    <w:rsid w:val="00210CFE"/>
    <w:rsid w:val="002635A5"/>
    <w:rsid w:val="002831AC"/>
    <w:rsid w:val="00290A34"/>
    <w:rsid w:val="002B12DD"/>
    <w:rsid w:val="002D3CE8"/>
    <w:rsid w:val="00304911"/>
    <w:rsid w:val="0030655E"/>
    <w:rsid w:val="00307AAF"/>
    <w:rsid w:val="00307CFE"/>
    <w:rsid w:val="00335EC0"/>
    <w:rsid w:val="00381846"/>
    <w:rsid w:val="0038396D"/>
    <w:rsid w:val="00391DCE"/>
    <w:rsid w:val="003B1444"/>
    <w:rsid w:val="003B3443"/>
    <w:rsid w:val="003B416E"/>
    <w:rsid w:val="003C7472"/>
    <w:rsid w:val="00445C3A"/>
    <w:rsid w:val="004672D1"/>
    <w:rsid w:val="00490C58"/>
    <w:rsid w:val="004A5EA5"/>
    <w:rsid w:val="004B71D7"/>
    <w:rsid w:val="0056105B"/>
    <w:rsid w:val="005648D7"/>
    <w:rsid w:val="005700E5"/>
    <w:rsid w:val="0058340A"/>
    <w:rsid w:val="00594B30"/>
    <w:rsid w:val="005E2325"/>
    <w:rsid w:val="005F5A0D"/>
    <w:rsid w:val="00611BD6"/>
    <w:rsid w:val="00631483"/>
    <w:rsid w:val="006679B4"/>
    <w:rsid w:val="00690E21"/>
    <w:rsid w:val="006A4A29"/>
    <w:rsid w:val="006B69C3"/>
    <w:rsid w:val="00705ED3"/>
    <w:rsid w:val="007163EE"/>
    <w:rsid w:val="0073491A"/>
    <w:rsid w:val="00781EF0"/>
    <w:rsid w:val="007A5677"/>
    <w:rsid w:val="007C00D5"/>
    <w:rsid w:val="007E0343"/>
    <w:rsid w:val="007E1875"/>
    <w:rsid w:val="007E5C85"/>
    <w:rsid w:val="00834468"/>
    <w:rsid w:val="00877DE1"/>
    <w:rsid w:val="008946EF"/>
    <w:rsid w:val="0089561C"/>
    <w:rsid w:val="008C55AD"/>
    <w:rsid w:val="008C5B9C"/>
    <w:rsid w:val="008E00A8"/>
    <w:rsid w:val="0090446C"/>
    <w:rsid w:val="00905229"/>
    <w:rsid w:val="00955B3C"/>
    <w:rsid w:val="0098471D"/>
    <w:rsid w:val="009A5052"/>
    <w:rsid w:val="009C08A5"/>
    <w:rsid w:val="009C4028"/>
    <w:rsid w:val="009D2065"/>
    <w:rsid w:val="009D2EBF"/>
    <w:rsid w:val="009E2D3B"/>
    <w:rsid w:val="009E707F"/>
    <w:rsid w:val="009F2FFA"/>
    <w:rsid w:val="00A27F05"/>
    <w:rsid w:val="00A43E4A"/>
    <w:rsid w:val="00A51FBC"/>
    <w:rsid w:val="00A573BF"/>
    <w:rsid w:val="00A655B6"/>
    <w:rsid w:val="00A95224"/>
    <w:rsid w:val="00AC1D98"/>
    <w:rsid w:val="00AD6EBD"/>
    <w:rsid w:val="00B34986"/>
    <w:rsid w:val="00B61775"/>
    <w:rsid w:val="00B75D70"/>
    <w:rsid w:val="00BA2C3E"/>
    <w:rsid w:val="00BB1472"/>
    <w:rsid w:val="00BB53D5"/>
    <w:rsid w:val="00BF67C0"/>
    <w:rsid w:val="00C13023"/>
    <w:rsid w:val="00C41D17"/>
    <w:rsid w:val="00C7000A"/>
    <w:rsid w:val="00C817EB"/>
    <w:rsid w:val="00CA38E2"/>
    <w:rsid w:val="00CE542F"/>
    <w:rsid w:val="00D01649"/>
    <w:rsid w:val="00D1336A"/>
    <w:rsid w:val="00D2104D"/>
    <w:rsid w:val="00D21F5C"/>
    <w:rsid w:val="00D44915"/>
    <w:rsid w:val="00D53E81"/>
    <w:rsid w:val="00DD1FF3"/>
    <w:rsid w:val="00E0482F"/>
    <w:rsid w:val="00E15827"/>
    <w:rsid w:val="00E71881"/>
    <w:rsid w:val="00E82B2F"/>
    <w:rsid w:val="00EA6BED"/>
    <w:rsid w:val="00EB2BE7"/>
    <w:rsid w:val="00ED4D9C"/>
    <w:rsid w:val="00EF0159"/>
    <w:rsid w:val="00EF62F8"/>
    <w:rsid w:val="00F36BEB"/>
    <w:rsid w:val="00F50568"/>
    <w:rsid w:val="00F53B3C"/>
    <w:rsid w:val="00F653E6"/>
    <w:rsid w:val="00F74FE4"/>
    <w:rsid w:val="00F9465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D5"/>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00D5"/>
    <w:rPr>
      <w:color w:val="0000FF"/>
      <w:u w:val="single"/>
    </w:rPr>
  </w:style>
  <w:style w:type="paragraph" w:styleId="BalloonText">
    <w:name w:val="Balloon Text"/>
    <w:basedOn w:val="Normal"/>
    <w:link w:val="BalloonTextChar"/>
    <w:uiPriority w:val="99"/>
    <w:semiHidden/>
    <w:unhideWhenUsed/>
    <w:rsid w:val="00290A34"/>
    <w:rPr>
      <w:rFonts w:ascii="Tahoma" w:hAnsi="Tahoma" w:cs="Tahoma"/>
      <w:sz w:val="16"/>
      <w:szCs w:val="16"/>
    </w:rPr>
  </w:style>
  <w:style w:type="character" w:customStyle="1" w:styleId="BalloonTextChar">
    <w:name w:val="Balloon Text Char"/>
    <w:basedOn w:val="DefaultParagraphFont"/>
    <w:link w:val="BalloonText"/>
    <w:uiPriority w:val="99"/>
    <w:semiHidden/>
    <w:rsid w:val="00290A34"/>
    <w:rPr>
      <w:rFonts w:ascii="Tahoma" w:eastAsia="Times New Roman" w:hAnsi="Tahoma" w:cs="Tahoma"/>
      <w:sz w:val="16"/>
      <w:szCs w:val="16"/>
      <w:lang w:eastAsia="en-AU"/>
    </w:rPr>
  </w:style>
  <w:style w:type="paragraph" w:styleId="Header">
    <w:name w:val="header"/>
    <w:basedOn w:val="Normal"/>
    <w:link w:val="HeaderChar"/>
    <w:uiPriority w:val="99"/>
    <w:unhideWhenUsed/>
    <w:rsid w:val="0073491A"/>
    <w:pPr>
      <w:tabs>
        <w:tab w:val="center" w:pos="4513"/>
        <w:tab w:val="right" w:pos="9026"/>
      </w:tabs>
    </w:pPr>
  </w:style>
  <w:style w:type="character" w:customStyle="1" w:styleId="HeaderChar">
    <w:name w:val="Header Char"/>
    <w:basedOn w:val="DefaultParagraphFont"/>
    <w:link w:val="Header"/>
    <w:uiPriority w:val="99"/>
    <w:rsid w:val="0073491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73491A"/>
    <w:pPr>
      <w:tabs>
        <w:tab w:val="center" w:pos="4513"/>
        <w:tab w:val="right" w:pos="9026"/>
      </w:tabs>
    </w:pPr>
  </w:style>
  <w:style w:type="character" w:customStyle="1" w:styleId="FooterChar">
    <w:name w:val="Footer Char"/>
    <w:basedOn w:val="DefaultParagraphFont"/>
    <w:link w:val="Footer"/>
    <w:uiPriority w:val="99"/>
    <w:rsid w:val="0073491A"/>
    <w:rPr>
      <w:rFonts w:ascii="Arial" w:eastAsia="Times New Roman" w:hAnsi="Arial" w:cs="Times New Roman"/>
      <w:sz w:val="24"/>
      <w:szCs w:val="20"/>
      <w:lang w:eastAsia="en-AU"/>
    </w:rPr>
  </w:style>
  <w:style w:type="paragraph" w:customStyle="1" w:styleId="AIHWbodytext">
    <w:name w:val="AIHW body text"/>
    <w:basedOn w:val="Normal"/>
    <w:link w:val="AIHWbodytextChar"/>
    <w:qFormat/>
    <w:rsid w:val="00AD6EBD"/>
    <w:pPr>
      <w:spacing w:before="60" w:after="120" w:line="260" w:lineRule="atLeast"/>
    </w:pPr>
    <w:rPr>
      <w:rFonts w:ascii="Book Antiqua" w:hAnsi="Book Antiqua"/>
      <w:sz w:val="22"/>
      <w:lang w:eastAsia="en-US"/>
    </w:rPr>
  </w:style>
  <w:style w:type="character" w:customStyle="1" w:styleId="AIHWbodytextChar">
    <w:name w:val="AIHW body text Char"/>
    <w:link w:val="AIHWbodytext"/>
    <w:locked/>
    <w:rsid w:val="00AD6EBD"/>
    <w:rPr>
      <w:rFonts w:ascii="Book Antiqua" w:eastAsia="Times New Roman" w:hAnsi="Book Antiqua" w:cs="Times New Roman"/>
      <w:szCs w:val="20"/>
    </w:rPr>
  </w:style>
  <w:style w:type="paragraph" w:customStyle="1" w:styleId="Bullet1">
    <w:name w:val="Bullet 1"/>
    <w:basedOn w:val="AIHWbodytext"/>
    <w:uiPriority w:val="2"/>
    <w:qFormat/>
    <w:rsid w:val="00AD6EBD"/>
    <w:pPr>
      <w:numPr>
        <w:numId w:val="8"/>
      </w:numPr>
      <w:tabs>
        <w:tab w:val="clear" w:pos="397"/>
        <w:tab w:val="num" w:pos="360"/>
      </w:tabs>
      <w:spacing w:before="40" w:after="80"/>
      <w:ind w:left="0" w:firstLine="0"/>
    </w:pPr>
  </w:style>
  <w:style w:type="paragraph" w:customStyle="1" w:styleId="TableFigText">
    <w:name w:val="Table/Fig: Text"/>
    <w:basedOn w:val="Normal"/>
    <w:link w:val="TableFigTextChar"/>
    <w:uiPriority w:val="6"/>
    <w:rsid w:val="00AD6EBD"/>
    <w:pPr>
      <w:keepLines/>
      <w:tabs>
        <w:tab w:val="left" w:pos="198"/>
      </w:tabs>
      <w:spacing w:before="60" w:after="60" w:line="200" w:lineRule="atLeast"/>
    </w:pPr>
    <w:rPr>
      <w:sz w:val="16"/>
      <w:lang w:eastAsia="en-US"/>
    </w:rPr>
  </w:style>
  <w:style w:type="character" w:customStyle="1" w:styleId="TableFigTextChar">
    <w:name w:val="Table/Fig: Text Char"/>
    <w:link w:val="TableFigText"/>
    <w:uiPriority w:val="6"/>
    <w:rsid w:val="00AD6EBD"/>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E71881"/>
    <w:rPr>
      <w:sz w:val="16"/>
      <w:szCs w:val="16"/>
    </w:rPr>
  </w:style>
  <w:style w:type="paragraph" w:styleId="CommentText">
    <w:name w:val="annotation text"/>
    <w:basedOn w:val="Normal"/>
    <w:link w:val="CommentTextChar"/>
    <w:uiPriority w:val="99"/>
    <w:semiHidden/>
    <w:unhideWhenUsed/>
    <w:rsid w:val="00E71881"/>
    <w:rPr>
      <w:sz w:val="20"/>
    </w:rPr>
  </w:style>
  <w:style w:type="character" w:customStyle="1" w:styleId="CommentTextChar">
    <w:name w:val="Comment Text Char"/>
    <w:basedOn w:val="DefaultParagraphFont"/>
    <w:link w:val="CommentText"/>
    <w:uiPriority w:val="99"/>
    <w:semiHidden/>
    <w:rsid w:val="00E71881"/>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1881"/>
    <w:rPr>
      <w:b/>
      <w:bCs/>
    </w:rPr>
  </w:style>
  <w:style w:type="character" w:customStyle="1" w:styleId="CommentSubjectChar">
    <w:name w:val="Comment Subject Char"/>
    <w:basedOn w:val="CommentTextChar"/>
    <w:link w:val="CommentSubject"/>
    <w:uiPriority w:val="99"/>
    <w:semiHidden/>
    <w:rsid w:val="00E71881"/>
    <w:rPr>
      <w:rFonts w:ascii="Arial" w:eastAsia="Times New Roman" w:hAnsi="Arial" w:cs="Times New Roman"/>
      <w:b/>
      <w:bCs/>
      <w:sz w:val="20"/>
      <w:szCs w:val="20"/>
      <w:lang w:eastAsia="en-AU"/>
    </w:rPr>
  </w:style>
  <w:style w:type="paragraph" w:styleId="ListParagraph">
    <w:name w:val="List Paragraph"/>
    <w:basedOn w:val="Normal"/>
    <w:uiPriority w:val="34"/>
    <w:qFormat/>
    <w:rsid w:val="00A65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D5"/>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00D5"/>
    <w:rPr>
      <w:color w:val="0000FF"/>
      <w:u w:val="single"/>
    </w:rPr>
  </w:style>
  <w:style w:type="paragraph" w:styleId="BalloonText">
    <w:name w:val="Balloon Text"/>
    <w:basedOn w:val="Normal"/>
    <w:link w:val="BalloonTextChar"/>
    <w:uiPriority w:val="99"/>
    <w:semiHidden/>
    <w:unhideWhenUsed/>
    <w:rsid w:val="00290A34"/>
    <w:rPr>
      <w:rFonts w:ascii="Tahoma" w:hAnsi="Tahoma" w:cs="Tahoma"/>
      <w:sz w:val="16"/>
      <w:szCs w:val="16"/>
    </w:rPr>
  </w:style>
  <w:style w:type="character" w:customStyle="1" w:styleId="BalloonTextChar">
    <w:name w:val="Balloon Text Char"/>
    <w:basedOn w:val="DefaultParagraphFont"/>
    <w:link w:val="BalloonText"/>
    <w:uiPriority w:val="99"/>
    <w:semiHidden/>
    <w:rsid w:val="00290A34"/>
    <w:rPr>
      <w:rFonts w:ascii="Tahoma" w:eastAsia="Times New Roman" w:hAnsi="Tahoma" w:cs="Tahoma"/>
      <w:sz w:val="16"/>
      <w:szCs w:val="16"/>
      <w:lang w:eastAsia="en-AU"/>
    </w:rPr>
  </w:style>
  <w:style w:type="paragraph" w:styleId="Header">
    <w:name w:val="header"/>
    <w:basedOn w:val="Normal"/>
    <w:link w:val="HeaderChar"/>
    <w:uiPriority w:val="99"/>
    <w:unhideWhenUsed/>
    <w:rsid w:val="0073491A"/>
    <w:pPr>
      <w:tabs>
        <w:tab w:val="center" w:pos="4513"/>
        <w:tab w:val="right" w:pos="9026"/>
      </w:tabs>
    </w:pPr>
  </w:style>
  <w:style w:type="character" w:customStyle="1" w:styleId="HeaderChar">
    <w:name w:val="Header Char"/>
    <w:basedOn w:val="DefaultParagraphFont"/>
    <w:link w:val="Header"/>
    <w:uiPriority w:val="99"/>
    <w:rsid w:val="0073491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73491A"/>
    <w:pPr>
      <w:tabs>
        <w:tab w:val="center" w:pos="4513"/>
        <w:tab w:val="right" w:pos="9026"/>
      </w:tabs>
    </w:pPr>
  </w:style>
  <w:style w:type="character" w:customStyle="1" w:styleId="FooterChar">
    <w:name w:val="Footer Char"/>
    <w:basedOn w:val="DefaultParagraphFont"/>
    <w:link w:val="Footer"/>
    <w:uiPriority w:val="99"/>
    <w:rsid w:val="0073491A"/>
    <w:rPr>
      <w:rFonts w:ascii="Arial" w:eastAsia="Times New Roman" w:hAnsi="Arial" w:cs="Times New Roman"/>
      <w:sz w:val="24"/>
      <w:szCs w:val="20"/>
      <w:lang w:eastAsia="en-AU"/>
    </w:rPr>
  </w:style>
  <w:style w:type="paragraph" w:customStyle="1" w:styleId="AIHWbodytext">
    <w:name w:val="AIHW body text"/>
    <w:basedOn w:val="Normal"/>
    <w:link w:val="AIHWbodytextChar"/>
    <w:qFormat/>
    <w:rsid w:val="00AD6EBD"/>
    <w:pPr>
      <w:spacing w:before="60" w:after="120" w:line="260" w:lineRule="atLeast"/>
    </w:pPr>
    <w:rPr>
      <w:rFonts w:ascii="Book Antiqua" w:hAnsi="Book Antiqua"/>
      <w:sz w:val="22"/>
      <w:lang w:eastAsia="en-US"/>
    </w:rPr>
  </w:style>
  <w:style w:type="character" w:customStyle="1" w:styleId="AIHWbodytextChar">
    <w:name w:val="AIHW body text Char"/>
    <w:link w:val="AIHWbodytext"/>
    <w:locked/>
    <w:rsid w:val="00AD6EBD"/>
    <w:rPr>
      <w:rFonts w:ascii="Book Antiqua" w:eastAsia="Times New Roman" w:hAnsi="Book Antiqua" w:cs="Times New Roman"/>
      <w:szCs w:val="20"/>
    </w:rPr>
  </w:style>
  <w:style w:type="paragraph" w:customStyle="1" w:styleId="Bullet1">
    <w:name w:val="Bullet 1"/>
    <w:basedOn w:val="AIHWbodytext"/>
    <w:uiPriority w:val="2"/>
    <w:qFormat/>
    <w:rsid w:val="00AD6EBD"/>
    <w:pPr>
      <w:numPr>
        <w:numId w:val="8"/>
      </w:numPr>
      <w:tabs>
        <w:tab w:val="clear" w:pos="397"/>
        <w:tab w:val="num" w:pos="360"/>
      </w:tabs>
      <w:spacing w:before="40" w:after="80"/>
      <w:ind w:left="0" w:firstLine="0"/>
    </w:pPr>
  </w:style>
  <w:style w:type="paragraph" w:customStyle="1" w:styleId="TableFigText">
    <w:name w:val="Table/Fig: Text"/>
    <w:basedOn w:val="Normal"/>
    <w:link w:val="TableFigTextChar"/>
    <w:uiPriority w:val="6"/>
    <w:rsid w:val="00AD6EBD"/>
    <w:pPr>
      <w:keepLines/>
      <w:tabs>
        <w:tab w:val="left" w:pos="198"/>
      </w:tabs>
      <w:spacing w:before="60" w:after="60" w:line="200" w:lineRule="atLeast"/>
    </w:pPr>
    <w:rPr>
      <w:sz w:val="16"/>
      <w:lang w:eastAsia="en-US"/>
    </w:rPr>
  </w:style>
  <w:style w:type="character" w:customStyle="1" w:styleId="TableFigTextChar">
    <w:name w:val="Table/Fig: Text Char"/>
    <w:link w:val="TableFigText"/>
    <w:uiPriority w:val="6"/>
    <w:rsid w:val="00AD6EBD"/>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E71881"/>
    <w:rPr>
      <w:sz w:val="16"/>
      <w:szCs w:val="16"/>
    </w:rPr>
  </w:style>
  <w:style w:type="paragraph" w:styleId="CommentText">
    <w:name w:val="annotation text"/>
    <w:basedOn w:val="Normal"/>
    <w:link w:val="CommentTextChar"/>
    <w:uiPriority w:val="99"/>
    <w:semiHidden/>
    <w:unhideWhenUsed/>
    <w:rsid w:val="00E71881"/>
    <w:rPr>
      <w:sz w:val="20"/>
    </w:rPr>
  </w:style>
  <w:style w:type="character" w:customStyle="1" w:styleId="CommentTextChar">
    <w:name w:val="Comment Text Char"/>
    <w:basedOn w:val="DefaultParagraphFont"/>
    <w:link w:val="CommentText"/>
    <w:uiPriority w:val="99"/>
    <w:semiHidden/>
    <w:rsid w:val="00E71881"/>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1881"/>
    <w:rPr>
      <w:b/>
      <w:bCs/>
    </w:rPr>
  </w:style>
  <w:style w:type="character" w:customStyle="1" w:styleId="CommentSubjectChar">
    <w:name w:val="Comment Subject Char"/>
    <w:basedOn w:val="CommentTextChar"/>
    <w:link w:val="CommentSubject"/>
    <w:uiPriority w:val="99"/>
    <w:semiHidden/>
    <w:rsid w:val="00E71881"/>
    <w:rPr>
      <w:rFonts w:ascii="Arial" w:eastAsia="Times New Roman" w:hAnsi="Arial" w:cs="Times New Roman"/>
      <w:b/>
      <w:bCs/>
      <w:sz w:val="20"/>
      <w:szCs w:val="20"/>
      <w:lang w:eastAsia="en-AU"/>
    </w:rPr>
  </w:style>
  <w:style w:type="paragraph" w:styleId="ListParagraph">
    <w:name w:val="List Paragraph"/>
    <w:basedOn w:val="Normal"/>
    <w:uiPriority w:val="34"/>
    <w:qFormat/>
    <w:rsid w:val="00A65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JJASecretariat@act.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1AB213361EC4799F9A0153F6F3904" ma:contentTypeVersion="1" ma:contentTypeDescription="Create a new document." ma:contentTypeScope="" ma:versionID="86396e4bf30b95556e9f9cc471846b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F531D9-2878-4679-A526-E4C9762EE93E}"/>
</file>

<file path=customXml/itemProps2.xml><?xml version="1.0" encoding="utf-8"?>
<ds:datastoreItem xmlns:ds="http://schemas.openxmlformats.org/officeDocument/2006/customXml" ds:itemID="{3BE32D39-1510-4443-B7DA-0457542840F2}"/>
</file>

<file path=customXml/itemProps3.xml><?xml version="1.0" encoding="utf-8"?>
<ds:datastoreItem xmlns:ds="http://schemas.openxmlformats.org/officeDocument/2006/customXml" ds:itemID="{D5E6941D-0F23-4F3E-93D0-A9BB58DDB681}"/>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JulieAnne Anderson</dc:creator>
  <cp:lastModifiedBy>Alison Grace</cp:lastModifiedBy>
  <cp:revision>2</cp:revision>
  <cp:lastPrinted>2013-10-02T23:44:00Z</cp:lastPrinted>
  <dcterms:created xsi:type="dcterms:W3CDTF">2013-12-18T23:42:00Z</dcterms:created>
  <dcterms:modified xsi:type="dcterms:W3CDTF">2013-12-18T23:42:00Z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0x010100E941AB213361EC4799F9A0153F6F3904</vt:lpwstr>
  </property>
</Properties>
</file>